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jc w:val="center"/>
        <w:spacing w:after="156" w:afterLines="50" w:before="156" w:beforeLines="50" w:lineRule="auto"/>
        <w:rPr>
          <w:sz w:val="32"/>
          <w:szCs w:val="32"/>
          <w:rFonts w:ascii="黑体" w:hAnsi="黑体" w:eastAsia="黑体"/>
        </w:rPr>
      </w:pPr>
      <w:r>
        <w:rPr>
          <w:sz w:val="32"/>
          <w:szCs w:val="32"/>
          <w:rFonts w:ascii="黑体" w:hAnsi="黑体" w:eastAsia="黑体" w:hint="eastAsia"/>
        </w:rPr>
        <w:t>《财务管理</w:t>
      </w:r>
      <w:r>
        <w:rPr>
          <w:sz w:val="32"/>
          <w:lang w:val="en-US" w:eastAsia="zh-CN"/>
          <w:szCs w:val="32"/>
          <w:rFonts w:ascii="黑体" w:hAnsi="黑体" w:eastAsia="黑体" w:hint="eastAsia"/>
        </w:rPr>
        <w:t>案例研究</w:t>
      </w:r>
      <w:r>
        <w:rPr>
          <w:sz w:val="32"/>
          <w:szCs w:val="32"/>
          <w:rFonts w:ascii="黑体" w:hAnsi="黑体" w:eastAsia="黑体" w:hint="eastAsia"/>
        </w:rPr>
        <w:t>》课程教学大纲</w:t>
      </w:r>
    </w:p>
    <w:p>
      <w:pPr>
        <w:pStyle w:val="3"/>
        <w:jc w:val="left"/>
        <w:spacing w:after="156" w:afterLines="50" w:before="156" w:beforeLines="50" w:lineRule="auto"/>
        <w:ind w:firstLine="562" w:firstLineChars="200"/>
        <w:rPr>
          <w:rFonts w:hAnsi="宋体" w:cs="宋体"/>
        </w:rPr>
      </w:pPr>
      <w:r>
        <w:rPr>
          <w:b w:val="1"/>
          <w:sz w:val="28"/>
          <w:szCs w:val="28"/>
          <w:rFonts w:ascii="黑体" w:hAnsi="黑体" w:eastAsia="黑体" w:cs="宋体" w:hint="eastAsia"/>
        </w:rPr>
        <w:t>一、课程基本信息</w:t>
      </w:r>
    </w:p>
    <w:tbl>
      <w:tblPr>
        <w:tblStyle w:val="7"/>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1135.000000"/>
        <w:gridCol w:w="3685.000000"/>
        <w:gridCol w:w="1134.000000"/>
        <w:gridCol w:w="2744.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135" w:type="dxa"/>
            <w:vAlign w:val="center"/>
          </w:tcPr>
          <w:p>
            <w:pPr>
              <w:jc w:val="center"/>
              <w:spacing w:after="156" w:afterLines="50" w:before="156" w:beforeLines="50" w:lineRule="auto"/>
              <w:rPr>
                <w:b w:val="1"/>
                <w:bCs/>
                <w:rFonts w:ascii="宋体" w:hAnsi="宋体" w:eastAsia="宋体" w:cs="黑体"/>
              </w:rPr>
            </w:pPr>
            <w:r>
              <w:rPr>
                <w:b w:val="1"/>
                <w:bCs/>
                <w:rFonts w:ascii="宋体" w:hAnsi="宋体" w:eastAsia="宋体" w:cs="黑体" w:hint="eastAsia"/>
              </w:rPr>
              <w:t>英文名称</w:t>
            </w:r>
          </w:p>
        </w:tc>
        <w:tc>
          <w:tcPr>
            <w:tcW w:w="3685" w:type="dxa"/>
            <w:vAlign w:val="center"/>
          </w:tcPr>
          <w:p>
            <w:pPr>
              <w:jc w:val="center"/>
              <w:spacing w:after="156" w:afterLines="50" w:before="156" w:beforeLines="50" w:lineRule="auto"/>
              <w:rPr>
                <w:lang w:val="en-US" w:eastAsia="zh-CN"/>
                <w:szCs w:val="21"/>
                <w:rFonts w:ascii="宋体" w:hAnsi="宋体" w:eastAsia="宋体" w:cs="宋体" w:hint="default"/>
              </w:rPr>
            </w:pPr>
            <w:r>
              <w:rPr>
                <w:lang w:val="en-US" w:eastAsia="zh-CN"/>
                <w:szCs w:val="21"/>
                <w:rFonts w:ascii="宋体" w:hAnsi="宋体" w:eastAsia="宋体" w:cs="宋体" w:hint="eastAsia"/>
              </w:rPr>
              <w:t xml:space="preserve">Case study On </w:t>
            </w:r>
            <w:r>
              <w:rPr>
                <w:szCs w:val="21"/>
                <w:rFonts w:ascii="宋体" w:hAnsi="宋体" w:eastAsia="宋体" w:cs="宋体"/>
              </w:rPr>
              <w:t>Financial Management</w:t>
            </w:r>
            <w:r>
              <w:rPr>
                <w:lang w:val="en-US" w:eastAsia="zh-CN"/>
                <w:szCs w:val="21"/>
                <w:rFonts w:ascii="宋体" w:hAnsi="宋体" w:eastAsia="宋体" w:cs="宋体" w:hint="eastAsia"/>
              </w:rPr>
              <w:t xml:space="preserve">  </w:t>
            </w:r>
          </w:p>
        </w:tc>
        <w:tc>
          <w:tcPr>
            <w:tcW w:w="1134" w:type="dxa"/>
            <w:vAlign w:val="center"/>
          </w:tcPr>
          <w:p>
            <w:pPr>
              <w:jc w:val="center"/>
              <w:spacing w:after="156" w:afterLines="50" w:before="156" w:beforeLines="50" w:lineRule="auto"/>
              <w:rPr>
                <w:b w:val="1"/>
                <w:bCs/>
                <w:szCs w:val="21"/>
                <w:rFonts w:ascii="宋体" w:hAnsi="宋体" w:eastAsia="宋体" w:cs="宋体"/>
              </w:rPr>
            </w:pPr>
            <w:r>
              <w:rPr>
                <w:b w:val="1"/>
                <w:bCs/>
                <w:szCs w:val="21"/>
                <w:rFonts w:ascii="宋体" w:hAnsi="宋体" w:eastAsia="宋体" w:cs="宋体" w:hint="eastAsia"/>
              </w:rPr>
              <w:t>课程代码</w:t>
            </w:r>
          </w:p>
        </w:tc>
        <w:tc>
          <w:tcPr>
            <w:tcW w:w="2744" w:type="dxa"/>
            <w:vAlign w:val="center"/>
          </w:tcPr>
          <w:p>
            <w:pPr>
              <w:jc w:val="center"/>
              <w:spacing w:after="156" w:afterLines="50" w:before="156" w:beforeLines="50" w:lineRule="auto"/>
              <w:rPr>
                <w:lang w:val="en-US" w:eastAsia="zh-CN"/>
                <w:szCs w:val="21"/>
                <w:rFonts w:ascii="宋体" w:hAnsi="宋体" w:cs="宋体" w:hint="eastAsia" w:eastAsiaTheme="minorEastAsia"/>
              </w:rPr>
            </w:pPr>
            <w:r>
              <w:rPr>
                <w:rFonts w:ascii="Times New Roman" w:hAnsi="Times New Roman"/>
              </w:rPr>
              <w:t>FINM300</w:t>
            </w:r>
            <w:r>
              <w:rPr>
                <w:lang w:val="en-US" w:eastAsia="zh-CN"/>
                <w:rFonts w:ascii="Times New Roman" w:hAnsi="Times New Roman"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135" w:type="dxa"/>
            <w:vAlign w:val="center"/>
          </w:tcPr>
          <w:p>
            <w:pPr>
              <w:jc w:val="center"/>
              <w:spacing w:after="156" w:afterLines="50" w:before="156" w:beforeLines="50" w:lineRule="auto"/>
              <w:rPr>
                <w:b w:val="1"/>
                <w:bCs/>
                <w:rFonts w:ascii="宋体" w:hAnsi="宋体" w:eastAsia="宋体" w:cs="黑体"/>
              </w:rPr>
            </w:pPr>
            <w:r>
              <w:rPr>
                <w:b w:val="1"/>
                <w:bCs/>
                <w:rFonts w:ascii="宋体" w:hAnsi="宋体" w:eastAsia="宋体" w:cs="黑体" w:hint="eastAsia"/>
              </w:rPr>
              <w:t>课程性质</w:t>
            </w:r>
          </w:p>
        </w:tc>
        <w:tc>
          <w:tcPr>
            <w:tcW w:w="3685" w:type="dxa"/>
            <w:vAlign w:val="center"/>
          </w:tcPr>
          <w:p>
            <w:pPr>
              <w:jc w:val="center"/>
              <w:spacing w:after="156" w:afterLines="50" w:before="156" w:beforeLines="50" w:lineRule="auto"/>
              <w:ind w:firstLine="210" w:firstLineChars="100"/>
              <w:rPr>
                <w:szCs w:val="21"/>
                <w:rFonts w:ascii="宋体" w:hAnsi="宋体" w:eastAsia="宋体" w:cs="宋体"/>
              </w:rPr>
            </w:pPr>
            <w:r>
              <w:rPr>
                <w:szCs w:val="21"/>
                <w:rFonts w:ascii="宋体" w:hAnsi="宋体" w:eastAsia="宋体" w:cs="宋体" w:hint="eastAsia"/>
              </w:rPr>
              <w:t>专业必修课程</w:t>
            </w:r>
          </w:p>
        </w:tc>
        <w:tc>
          <w:tcPr>
            <w:tcW w:w="1134" w:type="dxa"/>
            <w:vAlign w:val="center"/>
          </w:tcPr>
          <w:p>
            <w:pPr>
              <w:jc w:val="center"/>
              <w:spacing w:after="156" w:afterLines="50" w:before="156" w:beforeLines="50" w:lineRule="auto"/>
              <w:rPr>
                <w:b w:val="1"/>
                <w:bCs/>
                <w:szCs w:val="21"/>
                <w:rFonts w:ascii="宋体" w:hAnsi="宋体" w:eastAsia="宋体" w:cs="宋体"/>
              </w:rPr>
            </w:pPr>
            <w:r>
              <w:rPr>
                <w:b w:val="1"/>
                <w:bCs/>
                <w:szCs w:val="21"/>
                <w:rFonts w:ascii="宋体" w:hAnsi="宋体" w:eastAsia="宋体" w:cs="宋体" w:hint="eastAsia"/>
              </w:rPr>
              <w:t>授课对象</w:t>
            </w:r>
          </w:p>
        </w:tc>
        <w:tc>
          <w:tcPr>
            <w:tcW w:w="2744" w:type="dxa"/>
            <w:vAlign w:val="center"/>
          </w:tcPr>
          <w:p>
            <w:pPr>
              <w:jc w:val="center"/>
              <w:spacing w:after="156" w:afterLines="50" w:before="156" w:beforeLines="50" w:lineRule="auto"/>
              <w:rPr>
                <w:szCs w:val="21"/>
                <w:rFonts w:ascii="宋体" w:hAnsi="宋体" w:eastAsia="宋体" w:cs="宋体"/>
              </w:rPr>
            </w:pPr>
            <w:r>
              <w:rPr>
                <w:szCs w:val="21"/>
                <w:rFonts w:ascii="宋体" w:hAnsi="宋体" w:eastAsia="宋体" w:cs="宋体" w:hint="eastAsia"/>
              </w:rPr>
              <w:t>财务管理专业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135" w:type="dxa"/>
            <w:vAlign w:val="center"/>
          </w:tcPr>
          <w:p>
            <w:pPr>
              <w:jc w:val="center"/>
              <w:spacing w:after="156" w:afterLines="50" w:before="156" w:beforeLines="50" w:lineRule="auto"/>
              <w:rPr>
                <w:b w:val="1"/>
                <w:bCs/>
                <w:rFonts w:ascii="宋体" w:hAnsi="宋体" w:eastAsia="宋体" w:cs="黑体"/>
              </w:rPr>
            </w:pPr>
            <w:r>
              <w:rPr>
                <w:b w:val="1"/>
                <w:bCs/>
                <w:rFonts w:ascii="宋体" w:hAnsi="宋体" w:eastAsia="宋体" w:cs="黑体" w:hint="eastAsia"/>
              </w:rPr>
              <w:t>学   分</w:t>
            </w:r>
          </w:p>
        </w:tc>
        <w:tc>
          <w:tcPr>
            <w:tcW w:w="3685" w:type="dxa"/>
            <w:vAlign w:val="center"/>
          </w:tcPr>
          <w:p>
            <w:pPr>
              <w:jc w:val="center"/>
              <w:spacing w:after="156" w:afterLines="50" w:before="156" w:beforeLines="50" w:lineRule="auto"/>
              <w:ind w:firstLine="840" w:firstLineChars="400"/>
              <w:rPr>
                <w:szCs w:val="21"/>
                <w:rFonts w:ascii="宋体" w:hAnsi="宋体" w:eastAsia="宋体" w:cs="宋体"/>
              </w:rPr>
            </w:pPr>
            <w:r>
              <w:rPr>
                <w:szCs w:val="21"/>
                <w:rFonts w:ascii="宋体" w:hAnsi="宋体" w:eastAsia="宋体" w:cs="宋体" w:hint="eastAsia"/>
              </w:rPr>
              <w:t>3</w:t>
            </w:r>
          </w:p>
        </w:tc>
        <w:tc>
          <w:tcPr>
            <w:tcW w:w="1134" w:type="dxa"/>
            <w:vAlign w:val="center"/>
          </w:tcPr>
          <w:p>
            <w:pPr>
              <w:jc w:val="center"/>
              <w:spacing w:after="156" w:afterLines="50" w:before="156" w:beforeLines="50" w:lineRule="auto"/>
              <w:rPr>
                <w:b w:val="1"/>
                <w:bCs/>
                <w:szCs w:val="21"/>
                <w:rFonts w:ascii="宋体" w:hAnsi="宋体" w:eastAsia="宋体" w:cs="宋体"/>
              </w:rPr>
            </w:pPr>
            <w:r>
              <w:rPr>
                <w:b w:val="1"/>
                <w:bCs/>
                <w:szCs w:val="21"/>
                <w:rFonts w:ascii="宋体" w:hAnsi="宋体" w:eastAsia="宋体" w:cs="宋体" w:hint="eastAsia"/>
              </w:rPr>
              <w:t>学   时</w:t>
            </w:r>
          </w:p>
        </w:tc>
        <w:tc>
          <w:tcPr>
            <w:tcW w:w="2744" w:type="dxa"/>
            <w:vAlign w:val="center"/>
          </w:tcPr>
          <w:p>
            <w:pPr>
              <w:jc w:val="center"/>
              <w:spacing w:after="156" w:afterLines="50" w:before="156" w:beforeLines="50" w:lineRule="auto"/>
              <w:rPr>
                <w:szCs w:val="21"/>
                <w:rFonts w:ascii="宋体" w:hAnsi="宋体" w:eastAsia="宋体" w:cs="宋体"/>
              </w:rPr>
            </w:pPr>
            <w:r>
              <w:rPr>
                <w:szCs w:val="21"/>
                <w:rFonts w:ascii="宋体" w:hAnsi="宋体" w:eastAsia="宋体" w:cs="宋体" w:hint="eastAsia"/>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135" w:type="dxa"/>
            <w:vAlign w:val="center"/>
          </w:tcPr>
          <w:p>
            <w:pPr>
              <w:jc w:val="center"/>
              <w:spacing w:after="156" w:afterLines="50" w:before="156" w:beforeLines="50" w:lineRule="auto"/>
              <w:rPr>
                <w:b w:val="1"/>
                <w:bCs/>
                <w:rFonts w:ascii="宋体" w:hAnsi="宋体" w:eastAsia="宋体" w:cs="黑体"/>
              </w:rPr>
            </w:pPr>
            <w:r>
              <w:rPr>
                <w:b w:val="1"/>
                <w:bCs/>
                <w:rFonts w:ascii="宋体" w:hAnsi="宋体" w:eastAsia="宋体" w:cs="黑体" w:hint="eastAsia"/>
              </w:rPr>
              <w:t>主讲教师</w:t>
            </w:r>
          </w:p>
        </w:tc>
        <w:tc>
          <w:tcPr>
            <w:tcW w:w="3685" w:type="dxa"/>
            <w:vAlign w:val="center"/>
          </w:tcPr>
          <w:p>
            <w:pPr>
              <w:jc w:val="center"/>
              <w:spacing w:after="156" w:afterLines="50" w:before="156" w:beforeLines="50" w:lineRule="auto"/>
              <w:rPr>
                <w:lang w:eastAsia="zh-CN"/>
                <w:szCs w:val="21"/>
                <w:rFonts w:ascii="宋体" w:hAnsi="宋体" w:eastAsia="宋体" w:cs="宋体" w:hint="eastAsia"/>
              </w:rPr>
            </w:pPr>
            <w:r>
              <w:rPr>
                <w:lang w:eastAsia="zh-CN"/>
                <w:szCs w:val="21"/>
                <w:rFonts w:ascii="宋体" w:hAnsi="宋体" w:eastAsia="宋体" w:cs="宋体" w:hint="eastAsia"/>
              </w:rPr>
              <w:t>王雪珍</w:t>
            </w:r>
          </w:p>
        </w:tc>
        <w:tc>
          <w:tcPr>
            <w:tcW w:w="1134" w:type="dxa"/>
            <w:vAlign w:val="center"/>
          </w:tcPr>
          <w:p>
            <w:pPr>
              <w:jc w:val="center"/>
              <w:spacing w:after="156" w:afterLines="50" w:before="156" w:beforeLines="50" w:lineRule="auto"/>
              <w:rPr>
                <w:b w:val="1"/>
                <w:bCs/>
                <w:szCs w:val="21"/>
                <w:rFonts w:ascii="宋体" w:hAnsi="宋体" w:eastAsia="宋体" w:cs="宋体"/>
              </w:rPr>
            </w:pPr>
            <w:r>
              <w:rPr>
                <w:b w:val="1"/>
                <w:bCs/>
                <w:szCs w:val="21"/>
                <w:rFonts w:ascii="宋体" w:hAnsi="宋体" w:eastAsia="宋体" w:cs="宋体" w:hint="eastAsia"/>
              </w:rPr>
              <w:t>修订日期</w:t>
            </w:r>
          </w:p>
        </w:tc>
        <w:tc>
          <w:tcPr>
            <w:tcW w:w="2744" w:type="dxa"/>
            <w:vAlign w:val="center"/>
          </w:tcPr>
          <w:p>
            <w:pPr>
              <w:jc w:val="center"/>
              <w:spacing w:after="156" w:afterLines="50" w:before="156" w:beforeLines="50" w:lineRule="auto"/>
              <w:rPr>
                <w:lang w:val="en-US" w:eastAsia="zh-CN"/>
                <w:szCs w:val="21"/>
                <w:rFonts w:ascii="宋体" w:hAnsi="宋体" w:eastAsia="宋体" w:cs="宋体" w:hint="eastAsia"/>
              </w:rPr>
            </w:pPr>
            <w:r>
              <w:rPr>
                <w:szCs w:val="21"/>
                <w:rFonts w:ascii="宋体" w:hAnsi="宋体" w:eastAsia="宋体" w:cs="宋体" w:hint="eastAsia"/>
              </w:rPr>
              <w:t>202</w:t>
            </w:r>
            <w:r>
              <w:rPr>
                <w:lang w:val="en-US" w:eastAsia="zh-CN"/>
                <w:szCs w:val="21"/>
                <w:rFonts w:ascii="宋体" w:hAnsi="宋体" w:eastAsia="宋体" w:cs="宋体" w:hint="eastAsia"/>
              </w:rPr>
              <w:t>3</w:t>
            </w:r>
            <w:r>
              <w:rPr>
                <w:szCs w:val="21"/>
                <w:rFonts w:ascii="宋体" w:hAnsi="宋体" w:eastAsia="宋体" w:cs="宋体" w:hint="eastAsia"/>
              </w:rPr>
              <w:t>.</w:t>
            </w:r>
            <w:r>
              <w:rPr>
                <w:lang w:val="en-US" w:eastAsia="zh-CN"/>
                <w:szCs w:val="21"/>
                <w:rFonts w:ascii="宋体" w:hAnsi="宋体" w:eastAsia="宋体" w:cs="宋体"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135" w:type="dxa"/>
            <w:vAlign w:val="center"/>
          </w:tcPr>
          <w:p>
            <w:pPr>
              <w:jc w:val="center"/>
              <w:spacing w:after="156" w:afterLines="50" w:before="156" w:beforeLines="50" w:lineRule="auto"/>
              <w:rPr>
                <w:b w:val="1"/>
                <w:bCs/>
                <w:rFonts w:ascii="宋体" w:hAnsi="宋体" w:eastAsia="宋体" w:cs="黑体"/>
              </w:rPr>
            </w:pPr>
            <w:r>
              <w:rPr>
                <w:b w:val="1"/>
                <w:bCs/>
                <w:rFonts w:ascii="宋体" w:hAnsi="宋体" w:eastAsia="宋体" w:cs="黑体" w:hint="eastAsia"/>
              </w:rPr>
              <w:t>指定教材</w:t>
            </w:r>
          </w:p>
        </w:tc>
        <w:tc>
          <w:tcPr>
            <w:tcW w:w="7563" w:type="dxa"/>
            <w:gridSpan w:val="3"/>
            <w:vAlign w:val="center"/>
          </w:tcPr>
          <w:p>
            <w:pPr>
              <w:jc w:val="center"/>
              <w:spacing w:after="156" w:afterLines="50" w:before="156" w:beforeLines="50" w:lineRule="auto"/>
              <w:rPr>
                <w:lang w:val="en-US" w:eastAsia="zh-CN"/>
                <w:szCs w:val="21"/>
                <w:rFonts w:ascii="宋体" w:hAnsi="宋体" w:eastAsia="宋体" w:cs="宋体" w:hint="default"/>
              </w:rPr>
            </w:pPr>
            <w:r>
              <w:rPr>
                <w:lang w:eastAsia="zh-CN"/>
                <w:szCs w:val="21"/>
                <w:rFonts w:ascii="宋体" w:hAnsi="宋体" w:eastAsia="宋体" w:cs="宋体" w:hint="eastAsia"/>
              </w:rPr>
              <w:t>王雪珍</w:t>
            </w:r>
            <w:r>
              <w:rPr>
                <w:szCs w:val="21"/>
                <w:rFonts w:ascii="宋体" w:hAnsi="宋体" w:eastAsia="宋体" w:cs="宋体" w:hint="eastAsia"/>
              </w:rPr>
              <w:t>等，《财务</w:t>
            </w:r>
            <w:r>
              <w:rPr>
                <w:lang w:val="en-US" w:eastAsia="zh-CN"/>
                <w:szCs w:val="21"/>
                <w:rFonts w:ascii="宋体" w:hAnsi="宋体" w:eastAsia="宋体" w:cs="宋体" w:hint="eastAsia"/>
              </w:rPr>
              <w:t>分析与案例研究</w:t>
            </w:r>
            <w:r>
              <w:rPr>
                <w:szCs w:val="21"/>
                <w:rFonts w:ascii="宋体" w:hAnsi="宋体" w:eastAsia="宋体" w:cs="宋体" w:hint="eastAsia"/>
              </w:rPr>
              <w:t>》（第</w:t>
            </w:r>
            <w:r>
              <w:rPr>
                <w:lang w:val="en-US" w:eastAsia="zh-CN"/>
                <w:szCs w:val="21"/>
                <w:rFonts w:ascii="宋体" w:hAnsi="宋体" w:eastAsia="宋体" w:cs="宋体" w:hint="eastAsia"/>
              </w:rPr>
              <w:t>2</w:t>
            </w:r>
            <w:r>
              <w:rPr>
                <w:szCs w:val="21"/>
                <w:rFonts w:ascii="宋体" w:hAnsi="宋体" w:eastAsia="宋体" w:cs="宋体" w:hint="eastAsia"/>
              </w:rPr>
              <w:t>版），</w:t>
            </w:r>
            <w:r>
              <w:rPr>
                <w:lang w:val="en-US" w:eastAsia="zh-CN"/>
                <w:szCs w:val="21"/>
                <w:rFonts w:ascii="宋体" w:hAnsi="宋体" w:eastAsia="宋体" w:cs="宋体" w:hint="eastAsia"/>
              </w:rPr>
              <w:t>苏州大学</w:t>
            </w:r>
            <w:r>
              <w:rPr>
                <w:szCs w:val="21"/>
                <w:rFonts w:ascii="宋体" w:hAnsi="宋体" w:eastAsia="宋体" w:cs="宋体" w:hint="eastAsia"/>
              </w:rPr>
              <w:t>大学出版社，2</w:t>
            </w:r>
            <w:r>
              <w:rPr>
                <w:szCs w:val="21"/>
                <w:rFonts w:ascii="宋体" w:hAnsi="宋体" w:eastAsia="宋体" w:cs="宋体"/>
              </w:rPr>
              <w:t>01</w:t>
            </w:r>
            <w:r>
              <w:rPr>
                <w:lang w:val="en-US" w:eastAsia="zh-CN"/>
                <w:szCs w:val="21"/>
                <w:rFonts w:ascii="宋体" w:hAnsi="宋体" w:eastAsia="宋体" w:cs="宋体" w:hint="eastAsia"/>
              </w:rPr>
              <w:t>9年8月</w:t>
            </w:r>
          </w:p>
        </w:tc>
      </w:tr>
    </w:tbl>
    <w:p>
      <w:pPr>
        <w:pStyle w:val="3"/>
        <w:spacing w:after="156" w:afterLines="50" w:before="156" w:beforeLines="50" w:lineRule="auto"/>
        <w:ind w:firstLine="562" w:firstLineChars="200"/>
        <w:rPr>
          <w:rFonts w:hAnsi="宋体" w:eastAsia="黑体" w:cs="宋体"/>
        </w:rPr>
      </w:pPr>
      <w:r>
        <w:rPr>
          <w:b w:val="1"/>
          <w:sz w:val="28"/>
          <w:szCs w:val="28"/>
          <w:rFonts w:ascii="黑体" w:hAnsi="黑体" w:eastAsia="黑体" w:cs="宋体" w:hint="eastAsia"/>
        </w:rPr>
        <w:t>二、课程目标</w:t>
      </w:r>
    </w:p>
    <w:p>
      <w:pPr>
        <w:pStyle w:val="3"/>
        <w:spacing w:after="156" w:afterLines="50" w:before="156" w:beforeLines="50" w:lineRule="auto"/>
        <w:ind w:firstLine="480" w:firstLineChars="200"/>
        <w:rPr>
          <w:b w:val="1"/>
          <w:sz w:val="24"/>
          <w:szCs w:val="24"/>
          <w:rFonts w:ascii="黑体" w:hAnsi="黑体" w:eastAsia="黑体" w:cs="宋体"/>
        </w:rPr>
      </w:pPr>
      <w:r>
        <w:rPr>
          <w:sz w:val="24"/>
          <w:szCs w:val="24"/>
          <w:rFonts w:ascii="黑体" w:hAnsi="黑体" w:eastAsia="黑体" w:cs="宋体" w:hint="eastAsia"/>
        </w:rPr>
        <w:t>（一）</w:t>
      </w:r>
      <w:r>
        <w:rPr>
          <w:b w:val="1"/>
          <w:sz w:val="24"/>
          <w:szCs w:val="24"/>
          <w:rFonts w:ascii="黑体" w:hAnsi="黑体" w:eastAsia="黑体" w:cs="宋体" w:hint="eastAsia"/>
        </w:rPr>
        <w:t>总体目标</w:t>
      </w:r>
    </w:p>
    <w:p>
      <w:pPr>
        <w:pStyle w:val="3"/>
        <w:spacing w:after="156" w:afterLines="50" w:before="156" w:beforeLines="50" w:lineRule="auto"/>
        <w:ind w:firstLine="420" w:firstLineChars="200"/>
        <w:rPr>
          <w:rFonts w:hAnsi="宋体" w:cs="宋体"/>
        </w:rPr>
      </w:pPr>
      <w:r>
        <w:rPr>
          <w:rFonts w:hAnsi="宋体" w:cs="宋体" w:hint="eastAsia"/>
        </w:rPr>
        <w:t>企业的资金筹集、使用和分配等活动是企业生产经营的另一方面，对企业资金进行运作的财务管理作为企业管理的重要组成部分，在企业管理中正在或者逐步地在成为企业管理的中心。本课程是</w:t>
      </w:r>
      <w:r>
        <w:rPr>
          <w:lang w:val="en-US" w:eastAsia="zh-CN"/>
          <w:rFonts w:hAnsi="宋体" w:cs="宋体" w:hint="eastAsia"/>
        </w:rPr>
        <w:t>通过</w:t>
      </w:r>
      <w:r>
        <w:rPr>
          <w:rFonts w:hAnsi="宋体" w:cs="宋体" w:hint="eastAsia"/>
        </w:rPr>
        <w:t>研究财务管理</w:t>
      </w:r>
      <w:r>
        <w:rPr>
          <w:lang w:val="en-US" w:eastAsia="zh-CN"/>
          <w:rFonts w:hAnsi="宋体" w:cs="宋体" w:hint="eastAsia"/>
        </w:rPr>
        <w:t>典型案例的</w:t>
      </w:r>
      <w:r>
        <w:rPr>
          <w:rFonts w:hAnsi="宋体" w:cs="宋体" w:hint="eastAsia"/>
        </w:rPr>
        <w:t>一门学科。本课程的总体目标是让学生掌握企业财务管理</w:t>
      </w:r>
      <w:r>
        <w:rPr>
          <w:lang w:eastAsia="zh-CN"/>
          <w:rFonts w:hAnsi="宋体" w:cs="宋体" w:hint="eastAsia"/>
        </w:rPr>
        <w:t>中</w:t>
      </w:r>
      <w:r>
        <w:rPr>
          <w:lang w:val="en-US" w:eastAsia="zh-CN"/>
          <w:rFonts w:hAnsi="宋体" w:cs="宋体" w:hint="eastAsia"/>
        </w:rPr>
        <w:t>财务预算案例、筹资管理案例、投资管理案例、分配管理案例以及财务预警案例等方面</w:t>
      </w:r>
      <w:r>
        <w:rPr>
          <w:rFonts w:hAnsi="宋体" w:cs="宋体" w:hint="eastAsia"/>
        </w:rPr>
        <w:t>的问题，以对企业财务管理进行进一步的研究。通过</w:t>
      </w:r>
      <w:r>
        <w:rPr>
          <w:lang w:val="en-US" w:eastAsia="zh-CN"/>
          <w:rFonts w:hAnsi="宋体" w:cs="宋体" w:hint="eastAsia"/>
        </w:rPr>
        <w:t>财务管理案例</w:t>
      </w:r>
      <w:r>
        <w:rPr>
          <w:rFonts w:hAnsi="宋体" w:cs="宋体" w:hint="eastAsia"/>
        </w:rPr>
        <w:t>教学使学生了解企业财务管理</w:t>
      </w:r>
      <w:r>
        <w:rPr>
          <w:lang w:eastAsia="zh-CN"/>
          <w:rFonts w:hAnsi="宋体" w:cs="宋体" w:hint="eastAsia"/>
        </w:rPr>
        <w:t>的</w:t>
      </w:r>
      <w:r>
        <w:rPr>
          <w:lang w:val="en-US" w:eastAsia="zh-CN"/>
          <w:rFonts w:hAnsi="宋体" w:cs="宋体" w:hint="eastAsia"/>
        </w:rPr>
        <w:t>实际情况</w:t>
      </w:r>
      <w:r>
        <w:rPr>
          <w:rFonts w:hAnsi="宋体" w:cs="宋体" w:hint="eastAsia"/>
        </w:rPr>
        <w:t>，能够运用财务管理的基本理论对企业财务中</w:t>
      </w:r>
      <w:r>
        <w:rPr>
          <w:lang w:val="en-US" w:eastAsia="zh-CN"/>
          <w:rFonts w:hAnsi="宋体" w:cs="宋体" w:hint="eastAsia"/>
        </w:rPr>
        <w:t>出现的</w:t>
      </w:r>
      <w:r>
        <w:rPr>
          <w:rFonts w:hAnsi="宋体" w:cs="宋体" w:hint="eastAsia"/>
        </w:rPr>
        <w:t>问题做出判断和处理，为今后参与高层次的财务管理打下基础。通过本课程的学习与研究，使学生深刻认识财务管理在企业管理中的特殊地位和作用，培养和提高学习者的高级理财素质。</w:t>
      </w:r>
    </w:p>
    <w:p>
      <w:pPr>
        <w:pStyle w:val="3"/>
        <w:numPr>
          <w:ilvl w:val="0"/>
          <w:numId w:val="1"/>
        </w:numPr>
        <w:spacing w:after="156" w:afterLines="50" w:before="156" w:beforeLines="50" w:lineRule="auto"/>
        <w:ind w:firstLine="480" w:firstLineChars="200"/>
        <w:rPr>
          <w:sz w:val="24"/>
          <w:szCs w:val="24"/>
          <w:rFonts w:ascii="黑体" w:hAnsi="黑体" w:eastAsia="黑体" w:cs="宋体"/>
        </w:rPr>
      </w:pPr>
      <w:r>
        <w:rPr>
          <w:sz w:val="24"/>
          <w:szCs w:val="24"/>
          <w:rFonts w:ascii="黑体" w:hAnsi="黑体" w:eastAsia="黑体" w:cs="宋体" w:hint="eastAsia"/>
        </w:rPr>
        <w:t>课程目标：</w:t>
      </w:r>
    </w:p>
    <w:p>
      <w:pPr>
        <w:pStyle w:val="3"/>
        <w:spacing w:after="156" w:afterLines="50" w:before="156" w:beforeLines="50" w:lineRule="auto"/>
        <w:rPr>
          <w:b w:val="1"/>
          <w:lang w:val="en-US" w:eastAsia="zh-CN"/>
          <w:rFonts w:hAnsi="宋体" w:eastAsia="宋体" w:cs="宋体" w:hint="default"/>
        </w:rPr>
      </w:pPr>
      <w:r>
        <w:rPr>
          <w:b w:val="1"/>
          <w:rFonts w:hAnsi="宋体" w:cs="宋体" w:hint="eastAsia"/>
        </w:rPr>
        <w:t xml:space="preserve">      课程目标1：通过</w:t>
      </w:r>
      <w:r>
        <w:rPr>
          <w:b w:val="1"/>
          <w:lang w:val="en-US" w:eastAsia="zh-CN"/>
          <w:rFonts w:hAnsi="宋体" w:cs="宋体" w:hint="eastAsia"/>
        </w:rPr>
        <w:t>财务管理案例教学，使学生强化和巩固所学的财务管理理论和方法，增强和提高学生实际操作能力。</w:t>
      </w:r>
    </w:p>
    <w:p>
      <w:pPr>
        <w:pStyle w:val="3"/>
        <w:spacing w:after="156" w:afterLines="50" w:before="156" w:beforeLines="50" w:lineRule="auto"/>
        <w:ind w:firstLine="420" w:firstLineChars="200"/>
        <w:rPr>
          <w:lang w:val="en-US" w:eastAsia="zh-CN"/>
          <w:rFonts w:hAnsi="宋体" w:eastAsia="宋体" w:cs="宋体" w:hint="default"/>
        </w:rPr>
      </w:pPr>
      <w:r>
        <w:rPr>
          <w:rFonts w:hAnsi="宋体" w:cs="宋体" w:hint="eastAsia"/>
        </w:rPr>
        <w:t>1．1理解企业</w:t>
      </w:r>
      <w:r>
        <w:rPr>
          <w:lang w:val="en-US" w:eastAsia="zh-CN"/>
          <w:rFonts w:hAnsi="宋体" w:cs="宋体" w:hint="eastAsia"/>
        </w:rPr>
        <w:t>财务管理案例教学的作用</w:t>
      </w:r>
    </w:p>
    <w:p>
      <w:pPr>
        <w:pStyle w:val="3"/>
        <w:spacing w:after="156" w:afterLines="50" w:before="156" w:beforeLines="50" w:lineRule="auto"/>
        <w:ind w:firstLine="420" w:firstLineChars="200"/>
        <w:rPr>
          <w:rFonts w:hAnsi="宋体" w:cs="宋体"/>
        </w:rPr>
      </w:pPr>
      <w:r>
        <w:rPr>
          <w:rFonts w:hAnsi="宋体" w:cs="宋体" w:hint="eastAsia"/>
        </w:rPr>
        <w:t>1．2加深对</w:t>
      </w:r>
      <w:r>
        <w:rPr>
          <w:lang w:val="en-US" w:eastAsia="zh-CN"/>
          <w:rFonts w:hAnsi="宋体" w:cs="宋体" w:hint="eastAsia"/>
        </w:rPr>
        <w:t>财务管理案例教学的</w:t>
      </w:r>
      <w:r>
        <w:rPr>
          <w:rFonts w:hAnsi="宋体" w:cs="宋体" w:hint="eastAsia"/>
        </w:rPr>
        <w:t>理解</w:t>
      </w:r>
    </w:p>
    <w:p>
      <w:pPr>
        <w:pStyle w:val="3"/>
        <w:spacing w:after="156" w:afterLines="50" w:before="156" w:beforeLines="50" w:lineRule="auto"/>
        <w:ind w:firstLine="420" w:firstLineChars="200"/>
        <w:rPr>
          <w:lang w:val="en-US" w:eastAsia="zh-CN"/>
          <w:rFonts w:hAnsi="宋体" w:eastAsia="宋体" w:cs="宋体" w:hint="default"/>
        </w:rPr>
      </w:pPr>
      <w:r>
        <w:rPr>
          <w:rFonts w:hAnsi="宋体" w:cs="宋体" w:hint="eastAsia"/>
        </w:rPr>
        <w:t>1．3熟悉</w:t>
      </w:r>
      <w:r>
        <w:rPr>
          <w:lang w:val="en-US" w:eastAsia="zh-CN"/>
          <w:rFonts w:hAnsi="宋体" w:cs="宋体" w:hint="eastAsia"/>
        </w:rPr>
        <w:t>财务管理案例教学的步骤</w:t>
      </w:r>
    </w:p>
    <w:p>
      <w:pPr>
        <w:pStyle w:val="3"/>
        <w:spacing w:after="156" w:afterLines="50" w:before="156" w:beforeLines="50" w:lineRule="auto"/>
        <w:ind w:firstLine="422" w:firstLineChars="200"/>
        <w:rPr>
          <w:b w:val="1"/>
          <w:rFonts w:hAnsi="宋体" w:cs="宋体"/>
        </w:rPr>
      </w:pPr>
      <w:r>
        <w:rPr>
          <w:b w:val="1"/>
          <w:rFonts w:hAnsi="宋体" w:cs="宋体" w:hint="eastAsia"/>
        </w:rPr>
        <w:t>课程目标2：通过学习财务预算的本质和流程，使得学生理解如何通过全面预算管理参与企业目标制定及其实现路径。</w:t>
      </w:r>
    </w:p>
    <w:p>
      <w:pPr>
        <w:pStyle w:val="3"/>
        <w:spacing w:after="156" w:afterLines="50" w:before="156" w:beforeLines="50" w:lineRule="auto"/>
        <w:ind w:firstLine="420" w:firstLineChars="200"/>
        <w:rPr>
          <w:rFonts w:hAnsi="宋体" w:cs="宋体"/>
        </w:rPr>
      </w:pPr>
      <w:r>
        <w:rPr>
          <w:rFonts w:hAnsi="宋体" w:cs="宋体" w:hint="eastAsia"/>
        </w:rPr>
        <w:t>2．1理解预算管理的本质</w:t>
      </w:r>
    </w:p>
    <w:p>
      <w:pPr>
        <w:pStyle w:val="3"/>
        <w:spacing w:after="156" w:afterLines="50" w:before="156" w:beforeLines="50" w:lineRule="auto"/>
        <w:ind w:firstLine="420" w:firstLineChars="200"/>
        <w:rPr>
          <w:rFonts w:hAnsi="宋体" w:cs="宋体"/>
        </w:rPr>
      </w:pPr>
      <w:r>
        <w:rPr>
          <w:rFonts w:hAnsi="宋体" w:cs="宋体" w:hint="eastAsia"/>
        </w:rPr>
        <w:t>2．2知晓预算管理的流程</w:t>
      </w:r>
    </w:p>
    <w:p>
      <w:pPr>
        <w:pStyle w:val="3"/>
        <w:numPr>
          <w:ilvl w:val="0"/>
          <w:numId w:val="2"/>
        </w:numPr>
        <w:spacing w:after="156" w:afterLines="50" w:before="156" w:beforeLines="50" w:lineRule="auto"/>
        <w:ind w:firstLine="420" w:firstLineChars="200"/>
        <w:rPr>
          <w:rFonts w:hAnsi="宋体" w:cs="宋体" w:hint="eastAsia"/>
        </w:rPr>
      </w:pPr>
      <w:r>
        <w:rPr>
          <w:rFonts w:hAnsi="宋体" w:cs="宋体"/>
        </w:rPr>
        <w:t>3</w:t>
      </w:r>
      <w:r>
        <w:rPr>
          <w:rFonts w:hAnsi="宋体" w:cs="宋体" w:hint="eastAsia"/>
        </w:rPr>
        <w:t>熟悉预算管理的编制和控制</w:t>
      </w:r>
    </w:p>
    <w:p>
      <w:pPr>
        <w:pStyle w:val="3"/>
        <w:spacing w:after="156" w:afterLines="50" w:before="156" w:beforeLines="50" w:lineRule="auto"/>
        <w:ind w:firstLine="422" w:firstLineChars="200"/>
        <w:rPr>
          <w:b w:val="1"/>
          <w:bCs/>
          <w:rFonts w:hAnsi="宋体" w:cs="宋体"/>
        </w:rPr>
      </w:pPr>
      <w:r>
        <w:rPr>
          <w:b w:val="1"/>
          <w:rFonts w:hAnsi="宋体" w:cs="宋体" w:hint="eastAsia"/>
        </w:rPr>
        <w:t>课程目标3：通过学习</w:t>
      </w:r>
      <w:r>
        <w:rPr>
          <w:b w:val="1"/>
          <w:lang w:val="en-US" w:eastAsia="zh-CN"/>
          <w:rFonts w:hAnsi="宋体" w:cs="宋体" w:hint="eastAsia"/>
        </w:rPr>
        <w:t>筹资管理案例、投资管理案例、股利决策案例以及财务预警案例</w:t>
      </w:r>
      <w:r>
        <w:rPr>
          <w:b w:val="1"/>
          <w:rFonts w:hAnsi="宋体" w:cs="宋体" w:hint="eastAsia"/>
        </w:rPr>
        <w:t>，使得学生了解</w:t>
      </w:r>
      <w:r>
        <w:rPr>
          <w:b w:val="1"/>
          <w:lang w:val="en-US" w:eastAsia="zh-CN"/>
          <w:rFonts w:hAnsi="宋体" w:cs="宋体" w:hint="eastAsia"/>
        </w:rPr>
        <w:t>财务管理中</w:t>
      </w:r>
      <w:r>
        <w:rPr>
          <w:b w:val="1"/>
          <w:rFonts w:hAnsi="宋体" w:cs="宋体" w:hint="eastAsia"/>
        </w:rPr>
        <w:t>的各种方法及其运用</w:t>
      </w:r>
      <w:r>
        <w:rPr>
          <w:b w:val="1"/>
          <w:bCs/>
          <w:rFonts w:hAnsi="宋体" w:cs="宋体" w:hint="eastAsia"/>
        </w:rPr>
        <w:t>。</w:t>
      </w:r>
    </w:p>
    <w:p>
      <w:pPr>
        <w:pStyle w:val="3"/>
        <w:spacing w:after="156" w:afterLines="50" w:before="156" w:beforeLines="50" w:lineRule="auto"/>
        <w:ind w:firstLine="420" w:firstLineChars="200"/>
        <w:rPr>
          <w:lang w:val="en-US" w:eastAsia="zh-CN"/>
          <w:rFonts w:hAnsi="宋体" w:eastAsia="宋体" w:cs="宋体" w:hint="default"/>
        </w:rPr>
      </w:pPr>
      <w:r>
        <w:rPr>
          <w:rFonts w:hAnsi="宋体" w:cs="宋体" w:hint="eastAsia"/>
        </w:rPr>
        <w:t>3．1理解</w:t>
      </w:r>
      <w:r>
        <w:rPr>
          <w:lang w:val="en-US" w:eastAsia="zh-CN"/>
          <w:rFonts w:hAnsi="宋体" w:cs="宋体" w:hint="eastAsia"/>
        </w:rPr>
        <w:t>配股筹资和可转换债券筹资并掌握其分析方法</w:t>
      </w:r>
    </w:p>
    <w:p>
      <w:pPr>
        <w:pStyle w:val="3"/>
        <w:spacing w:after="156" w:afterLines="50" w:before="156" w:beforeLines="50" w:lineRule="auto"/>
        <w:ind w:firstLine="420" w:firstLineChars="200"/>
        <w:rPr>
          <w:rFonts w:hAnsi="宋体" w:cs="宋体" w:hint="eastAsia"/>
        </w:rPr>
      </w:pPr>
      <w:r>
        <w:rPr>
          <w:rFonts w:hAnsi="宋体" w:cs="宋体" w:hint="eastAsia"/>
        </w:rPr>
        <w:t>3．2掌握</w:t>
      </w:r>
      <w:r>
        <w:rPr>
          <w:lang w:val="en-US" w:eastAsia="zh-CN"/>
          <w:rFonts w:hAnsi="宋体" w:cs="宋体" w:hint="eastAsia"/>
        </w:rPr>
        <w:t>通货膨胀条件下项目投资决策</w:t>
      </w:r>
      <w:r>
        <w:rPr>
          <w:rFonts w:hAnsi="宋体" w:cs="宋体" w:hint="eastAsia"/>
        </w:rPr>
        <w:t>评价的方法及其运用</w:t>
      </w:r>
    </w:p>
    <w:p>
      <w:pPr>
        <w:pStyle w:val="3"/>
        <w:numPr>
          <w:ilvl w:val="0"/>
          <w:numId w:val="3"/>
        </w:numPr>
        <w:spacing w:after="156" w:afterLines="50" w:before="156" w:beforeLines="50" w:lineRule="auto"/>
        <w:ind w:firstLine="420" w:firstLineChars="200"/>
        <w:rPr>
          <w:lang w:eastAsia="zh-CN"/>
          <w:rFonts w:hAnsi="宋体" w:eastAsia="宋体" w:cs="宋体" w:hint="eastAsia"/>
        </w:rPr>
      </w:pPr>
      <w:r>
        <w:rPr>
          <w:lang w:val="en-US" w:eastAsia="zh-CN"/>
          <w:rFonts w:hAnsi="宋体" w:cs="宋体" w:hint="eastAsia"/>
        </w:rPr>
        <w:t>3掌握财务预警方法及其运用，</w:t>
      </w:r>
      <w:r>
        <w:rPr>
          <w:rFonts w:hAnsi="宋体" w:cs="宋体" w:hint="eastAsia"/>
        </w:rPr>
        <w:t>培养绿色环保、社会责任、公司治理和商业伦理以及可持续发展和公司绩效以及评价的思维</w:t>
      </w:r>
      <w:r>
        <w:rPr>
          <w:lang w:eastAsia="zh-CN"/>
          <w:rFonts w:hAnsi="宋体" w:cs="宋体" w:hint="eastAsia"/>
        </w:rPr>
        <w:t>。</w:t>
      </w:r>
    </w:p>
    <w:p>
      <w:pPr>
        <w:pStyle w:val="3"/>
        <w:spacing w:after="156" w:afterLines="50" w:before="156" w:beforeLines="50" w:lineRule="auto"/>
        <w:ind w:firstLine="422" w:firstLineChars="200"/>
        <w:rPr>
          <w:b w:val="1"/>
          <w:bCs/>
          <w:rFonts w:hAnsi="宋体" w:cs="宋体"/>
        </w:rPr>
      </w:pPr>
      <w:r>
        <w:rPr>
          <w:b w:val="1"/>
          <w:rFonts w:hAnsi="宋体" w:cs="宋体" w:hint="eastAsia"/>
        </w:rPr>
        <w:t>课程目标</w:t>
      </w:r>
      <w:r>
        <w:rPr>
          <w:b w:val="1"/>
          <w:rFonts w:hAnsi="宋体" w:cs="宋体"/>
        </w:rPr>
        <w:t>4</w:t>
      </w:r>
      <w:r>
        <w:rPr>
          <w:b w:val="1"/>
          <w:rFonts w:hAnsi="宋体" w:cs="宋体" w:hint="eastAsia"/>
        </w:rPr>
        <w:t>：通过撰写课程论文和案例分析报告以及课堂讨论等培养学生的专业分析工具和方法的运用、写作能力、口头表达能力</w:t>
      </w:r>
      <w:r>
        <w:rPr>
          <w:b w:val="1"/>
          <w:bCs/>
          <w:rFonts w:hAnsi="宋体" w:cs="宋体" w:hint="eastAsia"/>
        </w:rPr>
        <w:t>。</w:t>
      </w:r>
    </w:p>
    <w:p>
      <w:pPr>
        <w:pStyle w:val="3"/>
        <w:spacing w:after="156" w:afterLines="50" w:before="156" w:beforeLines="50" w:lineRule="auto"/>
        <w:ind w:firstLine="420" w:firstLineChars="200"/>
        <w:rPr>
          <w:rFonts w:hAnsi="宋体" w:cs="宋体"/>
        </w:rPr>
      </w:pPr>
      <w:r>
        <w:rPr>
          <w:rFonts w:hAnsi="宋体" w:cs="宋体"/>
        </w:rPr>
        <w:t>4</w:t>
      </w:r>
      <w:r>
        <w:rPr>
          <w:rFonts w:hAnsi="宋体" w:cs="宋体" w:hint="eastAsia"/>
        </w:rPr>
        <w:t>．1要求学生撰写</w:t>
      </w:r>
      <w:r>
        <w:rPr>
          <w:lang w:val="en-US" w:eastAsia="zh-CN"/>
          <w:rFonts w:hAnsi="宋体" w:cs="宋体" w:hint="eastAsia"/>
        </w:rPr>
        <w:t>1-3</w:t>
      </w:r>
      <w:r>
        <w:rPr>
          <w:rFonts w:hAnsi="宋体" w:cs="宋体" w:hint="eastAsia"/>
        </w:rPr>
        <w:t>篇课程论文</w:t>
      </w:r>
    </w:p>
    <w:p>
      <w:pPr>
        <w:pStyle w:val="3"/>
        <w:spacing w:after="156" w:afterLines="50" w:before="156" w:beforeLines="50" w:lineRule="auto"/>
        <w:ind w:firstLine="420" w:firstLineChars="200"/>
        <w:rPr>
          <w:rFonts w:hAnsi="宋体" w:cs="宋体"/>
        </w:rPr>
      </w:pPr>
      <w:r>
        <w:rPr>
          <w:rFonts w:hAnsi="宋体" w:cs="宋体"/>
        </w:rPr>
        <w:t>4</w:t>
      </w:r>
      <w:r>
        <w:rPr>
          <w:rFonts w:hAnsi="宋体" w:cs="宋体" w:hint="eastAsia"/>
        </w:rPr>
        <w:t>．2要求写生分组开展案例分析、撰写案例分析报告和课堂讨论</w:t>
      </w:r>
    </w:p>
    <w:p>
      <w:pPr>
        <w:pStyle w:val="3"/>
        <w:jc w:val="left"/>
        <w:numPr>
          <w:ilvl w:val="0"/>
          <w:numId w:val="1"/>
        </w:numPr>
        <w:spacing w:after="156" w:afterLines="50" w:before="156" w:beforeLines="50" w:lineRule="auto"/>
        <w:ind w:firstLine="480" w:firstLineChars="200"/>
        <w:rPr>
          <w:sz w:val="24"/>
          <w:szCs w:val="24"/>
          <w:rFonts w:ascii="黑体" w:hAnsi="黑体" w:eastAsia="黑体" w:cs="宋体"/>
        </w:rPr>
      </w:pPr>
      <w:r>
        <w:rPr>
          <w:sz w:val="24"/>
          <w:szCs w:val="24"/>
          <w:rFonts w:ascii="黑体" w:hAnsi="黑体" w:eastAsia="黑体" w:cs="宋体" w:hint="eastAsia"/>
        </w:rPr>
        <w:t>课程目标与毕业要求、课程内容的对应关系</w:t>
      </w:r>
    </w:p>
    <w:p>
      <w:pPr>
        <w:pStyle w:val="3"/>
        <w:jc w:val="center"/>
        <w:spacing w:after="156" w:afterLines="50" w:before="156" w:beforeLines="50" w:lineRule="auto"/>
        <w:rPr>
          <w:b w:val="1"/>
          <w:bCs/>
          <w:szCs w:val="21"/>
          <w:rFonts w:ascii="黑体" w:hAnsi="宋体"/>
        </w:rPr>
      </w:pPr>
      <w:r>
        <w:rPr>
          <w:b w:val="1"/>
          <w:bCs/>
          <w:szCs w:val="21"/>
          <w:rFonts w:ascii="黑体" w:hAnsi="宋体" w:hint="eastAsia"/>
        </w:rPr>
        <w:t xml:space="preserve">表1 </w:t>
      </w:r>
      <w:r>
        <w:rPr>
          <w:b w:val="1"/>
          <w:bCs/>
          <w:szCs w:val="21"/>
          <w:rFonts w:ascii="黑体" w:hAnsi="宋体"/>
        </w:rPr>
        <w:t xml:space="preserve"> </w:t>
      </w:r>
      <w:r>
        <w:rPr>
          <w:b w:val="1"/>
          <w:bCs/>
          <w:szCs w:val="21"/>
          <w:rFonts w:ascii="黑体" w:hAnsi="宋体" w:hint="eastAsia"/>
        </w:rPr>
        <w:t>课程目标与课程内容、毕业要求的对应关系表</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1302.000000"/>
        <w:gridCol w:w="1617.000000"/>
        <w:gridCol w:w="3460.000000"/>
        <w:gridCol w:w="268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Align w:val="center"/>
          </w:tcPr>
          <w:p>
            <w:pPr>
              <w:pStyle w:val="3"/>
              <w:jc w:val="center"/>
              <w:spacing w:after="156" w:afterLines="50" w:before="156" w:beforeLines="50" w:lineRule="auto"/>
              <w:rPr>
                <w:b w:val="1"/>
                <w:bCs/>
                <w:szCs w:val="21"/>
                <w:rFonts w:ascii="黑体" w:hAnsi="宋体"/>
              </w:rPr>
            </w:pPr>
            <w:r>
              <w:rPr>
                <w:b w:val="1"/>
                <w:bCs/>
                <w:szCs w:val="21"/>
                <w:rFonts w:ascii="黑体" w:hAnsi="宋体" w:hint="eastAsia"/>
              </w:rPr>
              <w:t>课程目标</w:t>
            </w:r>
          </w:p>
        </w:tc>
        <w:tc>
          <w:tcPr>
            <w:tcW w:w="1617" w:type="dxa"/>
            <w:vAlign w:val="center"/>
          </w:tcPr>
          <w:p>
            <w:pPr>
              <w:pStyle w:val="3"/>
              <w:jc w:val="center"/>
              <w:spacing w:after="156" w:afterLines="50" w:before="156" w:beforeLines="50" w:lineRule="auto"/>
              <w:rPr>
                <w:b w:val="1"/>
                <w:rFonts w:hAnsi="宋体" w:cs="宋体"/>
              </w:rPr>
            </w:pPr>
            <w:r>
              <w:rPr>
                <w:b w:val="1"/>
                <w:rFonts w:hAnsi="宋体" w:cs="宋体" w:hint="eastAsia"/>
              </w:rPr>
              <w:t>课程子目标</w:t>
            </w:r>
          </w:p>
        </w:tc>
        <w:tc>
          <w:tcPr>
            <w:tcW w:w="3460" w:type="dxa"/>
            <w:vAlign w:val="center"/>
          </w:tcPr>
          <w:p>
            <w:pPr>
              <w:pStyle w:val="3"/>
              <w:jc w:val="center"/>
              <w:spacing w:after="156" w:afterLines="50" w:before="156" w:beforeLines="50" w:lineRule="auto"/>
              <w:rPr>
                <w:b w:val="1"/>
                <w:bCs/>
                <w:szCs w:val="21"/>
                <w:rFonts w:ascii="黑体" w:hAnsi="宋体"/>
              </w:rPr>
            </w:pPr>
            <w:r>
              <w:rPr>
                <w:b w:val="1"/>
                <w:bCs/>
                <w:szCs w:val="21"/>
                <w:rFonts w:ascii="黑体" w:hAnsi="宋体" w:hint="eastAsia"/>
              </w:rPr>
              <w:t>对应课程内容</w:t>
            </w:r>
          </w:p>
        </w:tc>
        <w:tc>
          <w:tcPr>
            <w:tcW w:w="2688" w:type="dxa"/>
            <w:vAlign w:val="center"/>
          </w:tcPr>
          <w:p>
            <w:pPr>
              <w:pStyle w:val="3"/>
              <w:jc w:val="center"/>
              <w:spacing w:after="156" w:afterLines="50" w:before="156" w:beforeLines="50" w:lineRule="auto"/>
              <w:rPr>
                <w:b w:val="1"/>
                <w:bCs/>
                <w:szCs w:val="21"/>
                <w:rFonts w:ascii="黑体" w:hAnsi="宋体"/>
              </w:rPr>
            </w:pPr>
            <w:r>
              <w:rPr>
                <w:b w:val="1"/>
                <w:bCs/>
                <w:szCs w:val="21"/>
                <w:rFonts w:ascii="黑体" w:hAnsi="宋体" w:hint="eastAsia"/>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restart"/>
            <w:vAlign w:val="center"/>
          </w:tcPr>
          <w:p>
            <w:pPr>
              <w:pStyle w:val="3"/>
              <w:jc w:val="center"/>
              <w:spacing w:after="156" w:afterLines="50" w:before="156" w:beforeLines="50" w:lineRule="auto"/>
              <w:rPr>
                <w:szCs w:val="21"/>
                <w:rFonts w:hAnsi="宋体" w:cs="宋体"/>
              </w:rPr>
            </w:pPr>
            <w:r>
              <w:rPr>
                <w:szCs w:val="21"/>
                <w:rFonts w:hAnsi="宋体" w:cs="宋体" w:hint="eastAsia"/>
              </w:rPr>
              <w:t>课程目标1</w:t>
            </w:r>
          </w:p>
        </w:tc>
        <w:tc>
          <w:tcPr>
            <w:tcW w:w="1617" w:type="dxa"/>
            <w:vAlign w:val="center"/>
          </w:tcPr>
          <w:p>
            <w:pPr>
              <w:pStyle w:val="3"/>
              <w:jc w:val="center"/>
              <w:spacing w:after="156" w:afterLines="50" w:before="156" w:beforeLines="50" w:lineRule="auto"/>
              <w:rPr>
                <w:rFonts w:hAnsi="宋体" w:cs="宋体"/>
              </w:rPr>
            </w:pPr>
            <w:r>
              <w:rPr>
                <w:rFonts w:hAnsi="宋体" w:cs="宋体" w:hint="eastAsia"/>
              </w:rPr>
              <w:t>1.1</w:t>
            </w:r>
          </w:p>
        </w:tc>
        <w:tc>
          <w:tcPr>
            <w:tcW w:w="3460" w:type="dxa"/>
            <w:vAlign w:val="center"/>
          </w:tcPr>
          <w:p>
            <w:pPr>
              <w:pStyle w:val="3"/>
              <w:jc w:val="center"/>
              <w:spacing w:after="156" w:afterLines="50" w:before="156" w:beforeLines="50" w:lineRule="auto"/>
              <w:rPr>
                <w:lang w:val="en-US" w:eastAsia="zh-CN"/>
                <w:rFonts w:hAnsi="宋体" w:eastAsia="宋体" w:cs="宋体" w:hint="default"/>
              </w:rPr>
            </w:pPr>
            <w:r>
              <w:rPr>
                <w:lang w:val="en-US" w:eastAsia="zh-CN"/>
                <w:rFonts w:hAnsi="宋体" w:cs="宋体" w:hint="eastAsia"/>
              </w:rPr>
              <w:t>财务管理案例教学法</w:t>
            </w:r>
          </w:p>
        </w:tc>
        <w:tc>
          <w:tcPr>
            <w:tcW w:w="2688" w:type="dxa"/>
            <w:vAlign w:val="center"/>
          </w:tcPr>
          <w:p>
            <w:pPr>
              <w:rPr>
                <w:rFonts w:ascii="宋体" w:hAnsi="宋体" w:eastAsia="宋体" w:cs="宋体"/>
              </w:rPr>
            </w:pPr>
            <w:r>
              <w:rPr>
                <w:rFonts w:ascii="宋体" w:hAnsi="宋体" w:eastAsia="宋体" w:cs="宋体" w:hint="eastAsia"/>
              </w:rPr>
              <w:t>掌握扎实的学科基础知识和专业知识；建立一套完整的知识体系和框架；通过常识和科学思维方法进行独立思考；具备利用专业知识分析和解决会计实际问题的基本能力；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732" w:hRule="atLeast"/>
          <w:jc w:val="center"/>
        </w:trPr>
        <w:tc>
          <w:tcPr>
            <w:tcW w:w="1302" w:type="dxa"/>
            <w:vMerge w:val="continue"/>
            <w:vAlign w:val="center"/>
          </w:tcPr>
          <w:p>
            <w:pPr>
              <w:pStyle w:val="3"/>
              <w:jc w:val="center"/>
              <w:spacing w:after="156" w:afterLines="50" w:before="156" w:beforeLines="50" w:lineRule="auto"/>
              <w:rPr>
                <w:szCs w:val="21"/>
                <w:rFonts w:hAnsi="宋体" w:cs="宋体"/>
              </w:rPr>
            </w:pPr>
          </w:p>
        </w:tc>
        <w:tc>
          <w:tcPr>
            <w:tcW w:w="1617" w:type="dxa"/>
            <w:vAlign w:val="center"/>
          </w:tcPr>
          <w:p>
            <w:pPr>
              <w:pStyle w:val="3"/>
              <w:jc w:val="center"/>
              <w:spacing w:after="156" w:afterLines="50" w:before="156" w:beforeLines="50" w:lineRule="auto"/>
              <w:rPr>
                <w:rFonts w:hAnsi="宋体" w:cs="宋体"/>
              </w:rPr>
            </w:pPr>
            <w:r>
              <w:rPr>
                <w:rFonts w:hAnsi="宋体" w:cs="宋体" w:hint="eastAsia"/>
              </w:rPr>
              <w:t>1.2</w:t>
            </w:r>
          </w:p>
        </w:tc>
        <w:tc>
          <w:tcPr>
            <w:tcW w:w="3460" w:type="dxa"/>
            <w:vAlign w:val="center"/>
          </w:tcPr>
          <w:p>
            <w:pPr>
              <w:pStyle w:val="3"/>
              <w:jc w:val="center"/>
              <w:spacing w:after="156" w:afterLines="50" w:before="156" w:beforeLines="50" w:lineRule="auto"/>
              <w:rPr>
                <w:lang w:val="en-US" w:eastAsia="zh-CN"/>
                <w:rFonts w:hAnsi="宋体" w:eastAsia="宋体" w:cs="宋体" w:hint="default"/>
              </w:rPr>
            </w:pPr>
            <w:r>
              <w:rPr>
                <w:lang w:val="en-US" w:eastAsia="zh-CN"/>
                <w:rFonts w:hAnsi="宋体" w:cs="宋体" w:hint="eastAsia"/>
              </w:rPr>
              <w:t>财务管理案例教学法的作用和步骤</w:t>
            </w:r>
          </w:p>
        </w:tc>
        <w:tc>
          <w:tcPr>
            <w:tcW w:w="2688" w:type="dxa"/>
            <w:vAlign w:val="center"/>
          </w:tcPr>
          <w:p>
            <w:pPr>
              <w:jc w:val="left"/>
              <w:spacing w:after="156" w:afterLines="50" w:before="156" w:beforeLines="50" w:lineRule="auto"/>
              <w:rPr>
                <w:rFonts w:ascii="宋体" w:hAnsi="宋体" w:eastAsia="宋体" w:cs="宋体"/>
              </w:rPr>
            </w:pPr>
            <w:r>
              <w:rPr>
                <w:rFonts w:ascii="宋体" w:hAnsi="宋体" w:eastAsia="宋体" w:cs="宋体" w:hint="eastAsia"/>
              </w:rPr>
              <w:t>掌握扎实的学科基础知识和专业知识；具备利用专业知识分析和解决会计实际问题的基本能力；具有人文和科学素质、社会责任感和会计职业道德和操守；具有创新意识和能力以及学术研究能力。</w:t>
            </w:r>
            <w:r>
              <w:rPr>
                <w:rFonts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continue"/>
            <w:vAlign w:val="center"/>
          </w:tcPr>
          <w:p>
            <w:pPr>
              <w:pStyle w:val="3"/>
              <w:jc w:val="center"/>
              <w:spacing w:after="156" w:afterLines="50" w:before="156" w:beforeLines="50" w:lineRule="auto"/>
              <w:rPr>
                <w:szCs w:val="21"/>
                <w:rFonts w:hAnsi="宋体" w:cs="宋体"/>
              </w:rPr>
            </w:pPr>
          </w:p>
        </w:tc>
        <w:tc>
          <w:tcPr>
            <w:tcW w:w="1617" w:type="dxa"/>
            <w:vAlign w:val="center"/>
          </w:tcPr>
          <w:p>
            <w:pPr>
              <w:pStyle w:val="3"/>
              <w:jc w:val="center"/>
              <w:spacing w:after="156" w:afterLines="50" w:before="156" w:beforeLines="50" w:lineRule="auto"/>
              <w:rPr>
                <w:rFonts w:hAnsi="宋体" w:cs="宋体"/>
              </w:rPr>
            </w:pPr>
            <w:r>
              <w:rPr>
                <w:rFonts w:hAnsi="宋体" w:cs="宋体" w:hint="eastAsia"/>
              </w:rPr>
              <w:t>1.3</w:t>
            </w:r>
          </w:p>
        </w:tc>
        <w:tc>
          <w:tcPr>
            <w:tcW w:w="3460" w:type="dxa"/>
            <w:vAlign w:val="center"/>
          </w:tcPr>
          <w:p>
            <w:pPr>
              <w:pStyle w:val="3"/>
              <w:jc w:val="center"/>
              <w:spacing w:after="156" w:afterLines="50" w:before="156" w:beforeLines="50" w:lineRule="auto"/>
              <w:rPr>
                <w:lang w:val="en-US" w:eastAsia="zh-CN"/>
                <w:szCs w:val="21"/>
                <w:rFonts w:ascii="黑体" w:hAnsi="宋体" w:eastAsia="宋体" w:hint="default"/>
              </w:rPr>
            </w:pPr>
            <w:r>
              <w:rPr>
                <w:lang w:val="en-US" w:eastAsia="zh-CN"/>
                <w:szCs w:val="21"/>
                <w:rFonts w:ascii="黑体" w:hAnsi="宋体" w:hint="eastAsia"/>
              </w:rPr>
              <w:t>财务管理案例研究的内容框架</w:t>
            </w:r>
          </w:p>
        </w:tc>
        <w:tc>
          <w:tcPr>
            <w:tcW w:w="2688" w:type="dxa"/>
            <w:vAlign w:val="center"/>
          </w:tcPr>
          <w:p>
            <w:pPr>
              <w:jc w:val="left"/>
              <w:spacing w:after="156" w:afterLines="50" w:before="156" w:beforeLines="50" w:lineRule="auto"/>
              <w:rPr>
                <w:rFonts w:ascii="宋体" w:hAnsi="宋体" w:eastAsia="宋体" w:cs="宋体"/>
              </w:rPr>
            </w:pPr>
            <w:r>
              <w:rPr>
                <w:rFonts w:ascii="宋体" w:hAnsi="宋体" w:eastAsia="宋体" w:cs="宋体" w:hint="eastAsia"/>
              </w:rPr>
              <w:t>掌握扎实的学科基础知识和专业知识；建立一套完整的知识体系和框架；能够通过常识和科学思维方法进行独立思考；具备利用专业知识分析和解决会计实际问题的基本能力；具有较强的沟通能力、团队协作能力和管理决策能力；具有创新意识和能力以及学术研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restart"/>
            <w:vAlign w:val="center"/>
          </w:tcPr>
          <w:p>
            <w:pPr>
              <w:pStyle w:val="3"/>
              <w:jc w:val="center"/>
              <w:spacing w:after="156" w:afterLines="50" w:before="156" w:beforeLines="50" w:lineRule="auto"/>
              <w:rPr>
                <w:szCs w:val="21"/>
                <w:rFonts w:hAnsi="宋体" w:cs="宋体"/>
              </w:rPr>
            </w:pPr>
            <w:r>
              <w:rPr>
                <w:szCs w:val="21"/>
                <w:rFonts w:hAnsi="宋体" w:cs="宋体" w:hint="eastAsia"/>
              </w:rPr>
              <w:t>课程目标2</w:t>
            </w:r>
          </w:p>
        </w:tc>
        <w:tc>
          <w:tcPr>
            <w:tcW w:w="1617" w:type="dxa"/>
            <w:vAlign w:val="center"/>
          </w:tcPr>
          <w:p>
            <w:pPr>
              <w:pStyle w:val="3"/>
              <w:jc w:val="center"/>
              <w:spacing w:after="156" w:afterLines="50" w:before="156" w:beforeLines="50" w:lineRule="auto"/>
              <w:rPr>
                <w:rFonts w:hAnsi="宋体" w:cs="宋体"/>
              </w:rPr>
            </w:pPr>
            <w:r>
              <w:rPr>
                <w:rFonts w:hAnsi="宋体" w:cs="宋体" w:hint="eastAsia"/>
              </w:rPr>
              <w:t>2.1</w:t>
            </w:r>
          </w:p>
        </w:tc>
        <w:tc>
          <w:tcPr>
            <w:tcW w:w="3460" w:type="dxa"/>
            <w:vAlign w:val="center"/>
          </w:tcPr>
          <w:p>
            <w:pPr>
              <w:pStyle w:val="3"/>
              <w:jc w:val="center"/>
              <w:spacing w:after="156" w:afterLines="50" w:before="156" w:beforeLines="50" w:lineRule="auto"/>
              <w:rPr>
                <w:rFonts w:hAnsi="宋体" w:cs="宋体"/>
              </w:rPr>
            </w:pPr>
            <w:r>
              <w:rPr>
                <w:rFonts w:hAnsi="宋体" w:cs="宋体" w:hint="eastAsia"/>
              </w:rPr>
              <w:t>财务预算管理的特征和内涵</w:t>
            </w:r>
          </w:p>
        </w:tc>
        <w:tc>
          <w:tcPr>
            <w:tcW w:w="2688" w:type="dxa"/>
            <w:vAlign w:val="center"/>
          </w:tcPr>
          <w:p>
            <w:pPr>
              <w:jc w:val="left"/>
              <w:spacing w:after="156" w:afterLines="50" w:before="156" w:beforeLines="50" w:lineRule="auto"/>
              <w:rPr>
                <w:szCs w:val="20"/>
                <w:rFonts w:ascii="宋体" w:hAnsi="宋体" w:eastAsia="宋体" w:cs="宋体"/>
              </w:rPr>
            </w:pPr>
            <w:r>
              <w:rPr>
                <w:rFonts w:ascii="宋体" w:hAnsi="宋体" w:eastAsia="宋体" w:cs="宋体" w:hint="eastAsia"/>
              </w:rPr>
              <w:t>掌握扎实的学科基础知识和专业知识；建立一套完整的知识体系和框架；；能够通过常识和科学思维方法进行独立思考；具备利用专业知识分析和解决会计实际问题的基本能力；；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continue"/>
            <w:vAlign w:val="center"/>
          </w:tcPr>
          <w:p>
            <w:pPr>
              <w:pStyle w:val="3"/>
              <w:jc w:val="center"/>
              <w:spacing w:after="156" w:afterLines="50" w:before="156" w:beforeLines="50" w:lineRule="auto"/>
              <w:rPr>
                <w:szCs w:val="21"/>
                <w:rFonts w:hAnsi="宋体" w:cs="宋体" w:hint="eastAsia"/>
              </w:rPr>
            </w:pPr>
          </w:p>
        </w:tc>
        <w:tc>
          <w:tcPr>
            <w:tcW w:w="1617" w:type="dxa"/>
            <w:vAlign w:val="center"/>
          </w:tcPr>
          <w:p>
            <w:pPr>
              <w:pStyle w:val="3"/>
              <w:jc w:val="center"/>
              <w:spacing w:after="156" w:afterLines="50" w:before="156" w:beforeLines="50" w:lineRule="auto"/>
              <w:rPr>
                <w:rFonts w:hAnsi="宋体" w:cs="宋体" w:hint="eastAsia"/>
              </w:rPr>
            </w:pPr>
            <w:r>
              <w:rPr>
                <w:rFonts w:hAnsi="宋体" w:cs="宋体" w:hint="eastAsia"/>
              </w:rPr>
              <w:t>2</w:t>
            </w:r>
            <w:r>
              <w:rPr>
                <w:rFonts w:hAnsi="宋体" w:cs="宋体"/>
              </w:rPr>
              <w:t>.2</w:t>
            </w:r>
          </w:p>
        </w:tc>
        <w:tc>
          <w:tcPr>
            <w:tcW w:w="3460" w:type="dxa"/>
            <w:vAlign w:val="center"/>
          </w:tcPr>
          <w:p>
            <w:pPr>
              <w:pStyle w:val="3"/>
              <w:jc w:val="center"/>
              <w:spacing w:after="156" w:afterLines="50" w:before="156" w:beforeLines="50" w:lineRule="auto"/>
              <w:rPr>
                <w:rFonts w:hAnsi="宋体" w:cs="宋体" w:hint="eastAsia"/>
              </w:rPr>
            </w:pPr>
            <w:r>
              <w:rPr>
                <w:rFonts w:hAnsi="宋体" w:cs="宋体" w:hint="eastAsia"/>
              </w:rPr>
              <w:t>企业预算管理的流程和组织体系</w:t>
            </w:r>
          </w:p>
        </w:tc>
        <w:tc>
          <w:tcPr>
            <w:tcW w:w="2688" w:type="dxa"/>
            <w:vAlign w:val="center"/>
          </w:tcPr>
          <w:p>
            <w:pPr>
              <w:jc w:val="left"/>
              <w:spacing w:after="156" w:afterLines="50" w:before="156" w:beforeLines="50" w:lineRule="auto"/>
              <w:rPr>
                <w:rFonts w:ascii="宋体" w:hAnsi="宋体" w:eastAsia="宋体" w:cs="宋体" w:hint="eastAsia"/>
              </w:rPr>
            </w:pPr>
            <w:r>
              <w:rPr>
                <w:rFonts w:ascii="宋体" w:hAnsi="宋体" w:eastAsia="宋体" w:cs="宋体" w:hint="eastAsia"/>
              </w:rPr>
              <w:t>具备利用专业知识分析和解决会计实际问题的基本能力；具有较强的沟通能力、团队协作能力和管理决策能力；具有人文和科学素质、社会责任感和会计职业道德和操守；具有创新意识和能力以及学术研究能力。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continue"/>
            <w:vAlign w:val="center"/>
          </w:tcPr>
          <w:p>
            <w:pPr>
              <w:pStyle w:val="3"/>
              <w:jc w:val="center"/>
              <w:spacing w:after="156" w:afterLines="50" w:before="156" w:beforeLines="50" w:lineRule="auto"/>
              <w:rPr>
                <w:szCs w:val="21"/>
                <w:rFonts w:hAnsi="宋体" w:cs="宋体"/>
              </w:rPr>
            </w:pPr>
          </w:p>
        </w:tc>
        <w:tc>
          <w:tcPr>
            <w:tcW w:w="1617" w:type="dxa"/>
            <w:vAlign w:val="center"/>
          </w:tcPr>
          <w:p>
            <w:pPr>
              <w:pStyle w:val="3"/>
              <w:jc w:val="center"/>
              <w:spacing w:after="156" w:afterLines="50" w:before="156" w:beforeLines="50" w:lineRule="auto"/>
              <w:rPr>
                <w:rFonts w:hAnsi="宋体" w:cs="宋体"/>
              </w:rPr>
            </w:pPr>
            <w:r>
              <w:rPr>
                <w:rFonts w:hAnsi="宋体" w:cs="宋体" w:hint="eastAsia"/>
              </w:rPr>
              <w:t>2.</w:t>
            </w:r>
            <w:r>
              <w:rPr>
                <w:rFonts w:hAnsi="宋体" w:cs="宋体"/>
              </w:rPr>
              <w:t>3</w:t>
            </w:r>
          </w:p>
        </w:tc>
        <w:tc>
          <w:tcPr>
            <w:tcW w:w="3460" w:type="dxa"/>
            <w:vAlign w:val="center"/>
          </w:tcPr>
          <w:p>
            <w:pPr>
              <w:pStyle w:val="3"/>
              <w:jc w:val="center"/>
              <w:spacing w:after="156" w:afterLines="50" w:before="156" w:beforeLines="50" w:lineRule="auto"/>
              <w:rPr>
                <w:rFonts w:hAnsi="宋体" w:cs="宋体"/>
              </w:rPr>
            </w:pPr>
            <w:r>
              <w:rPr>
                <w:rFonts w:hAnsi="宋体" w:cs="宋体" w:hint="eastAsia"/>
              </w:rPr>
              <w:t>财务预算的制定、执行和控制</w:t>
            </w:r>
          </w:p>
        </w:tc>
        <w:tc>
          <w:tcPr>
            <w:tcW w:w="2688" w:type="dxa"/>
            <w:vAlign w:val="center"/>
          </w:tcPr>
          <w:p>
            <w:pPr>
              <w:jc w:val="left"/>
              <w:spacing w:after="156" w:afterLines="50" w:before="156" w:beforeLines="50" w:lineRule="auto"/>
              <w:rPr>
                <w:szCs w:val="20"/>
                <w:rFonts w:ascii="宋体" w:hAnsi="宋体" w:eastAsia="宋体" w:cs="宋体" w:hint="eastAsia"/>
              </w:rPr>
            </w:pPr>
            <w:r>
              <w:rPr>
                <w:rFonts w:ascii="宋体" w:hAnsi="宋体" w:eastAsia="宋体" w:cs="宋体" w:hint="eastAsia"/>
              </w:rPr>
              <w:t>建立一套完整的知识体系和框架；培育科学精神和人文精神，塑造和形成自身正确的人生观和价值观，并能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restart"/>
            <w:vAlign w:val="center"/>
          </w:tcPr>
          <w:p>
            <w:pPr>
              <w:pStyle w:val="3"/>
              <w:jc w:val="center"/>
              <w:spacing w:after="156" w:afterLines="50" w:before="156" w:beforeLines="50" w:lineRule="auto"/>
              <w:rPr>
                <w:szCs w:val="21"/>
                <w:rFonts w:hAnsi="宋体" w:cs="宋体"/>
              </w:rPr>
            </w:pPr>
            <w:r>
              <w:rPr>
                <w:szCs w:val="21"/>
                <w:rFonts w:hAnsi="宋体" w:cs="宋体" w:hint="eastAsia"/>
              </w:rPr>
              <w:t>课程目标3</w:t>
            </w:r>
          </w:p>
        </w:tc>
        <w:tc>
          <w:tcPr>
            <w:tcW w:w="1617" w:type="dxa"/>
            <w:vAlign w:val="center"/>
          </w:tcPr>
          <w:p>
            <w:pPr>
              <w:pStyle w:val="3"/>
              <w:jc w:val="center"/>
              <w:spacing w:after="156" w:afterLines="50" w:before="156" w:beforeLines="50" w:lineRule="auto"/>
              <w:rPr>
                <w:rFonts w:hAnsi="宋体" w:cs="宋体"/>
              </w:rPr>
            </w:pPr>
            <w:r>
              <w:rPr>
                <w:szCs w:val="21"/>
                <w:rFonts w:hAnsi="宋体" w:cs="宋体" w:hint="eastAsia"/>
              </w:rPr>
              <w:t>3.1</w:t>
            </w:r>
          </w:p>
        </w:tc>
        <w:tc>
          <w:tcPr>
            <w:tcW w:w="3460" w:type="dxa"/>
            <w:vAlign w:val="center"/>
          </w:tcPr>
          <w:p>
            <w:pPr>
              <w:pStyle w:val="3"/>
              <w:jc w:val="center"/>
              <w:spacing w:after="156" w:afterLines="50" w:before="156" w:beforeLines="50" w:lineRule="auto"/>
              <w:rPr>
                <w:b w:val="1"/>
                <w:lang w:val="en-US" w:eastAsia="zh-CN"/>
                <w:bCs/>
                <w:szCs w:val="21"/>
                <w:rFonts w:ascii="黑体" w:hAnsi="宋体" w:eastAsia="宋体" w:hint="default"/>
              </w:rPr>
            </w:pPr>
            <w:r>
              <w:rPr>
                <w:b w:val="1"/>
                <w:lang w:val="en-US" w:eastAsia="zh-CN"/>
                <w:bCs/>
                <w:szCs w:val="21"/>
                <w:rFonts w:ascii="黑体" w:hAnsi="宋体" w:hint="eastAsia"/>
              </w:rPr>
              <w:t>筹资管理案例研究</w:t>
            </w:r>
          </w:p>
        </w:tc>
        <w:tc>
          <w:tcPr>
            <w:tcW w:w="2688" w:type="dxa"/>
            <w:vAlign w:val="center"/>
          </w:tcPr>
          <w:p>
            <w:pPr>
              <w:jc w:val="left"/>
              <w:spacing w:after="156" w:afterLines="50" w:before="156" w:beforeLines="50" w:lineRule="auto"/>
              <w:rPr>
                <w:rFonts w:ascii="宋体" w:hAnsi="宋体" w:eastAsia="宋体" w:cs="宋体"/>
              </w:rPr>
            </w:pPr>
            <w:r>
              <w:rPr>
                <w:rFonts w:ascii="宋体" w:hAnsi="宋体" w:eastAsia="宋体" w:cs="宋体" w:hint="eastAsia"/>
              </w:rPr>
              <w:t>培育科学精神和人文精神，塑造和形成自身正确的人生观和价值观，并能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continue"/>
            <w:vAlign w:val="center"/>
          </w:tcPr>
          <w:p>
            <w:pPr>
              <w:pStyle w:val="3"/>
              <w:jc w:val="center"/>
              <w:spacing w:after="156" w:afterLines="50" w:before="156" w:beforeLines="50" w:lineRule="auto"/>
              <w:rPr>
                <w:szCs w:val="21"/>
                <w:rFonts w:hAnsi="宋体" w:cs="宋体" w:hint="eastAsia"/>
              </w:rPr>
            </w:pPr>
          </w:p>
        </w:tc>
        <w:tc>
          <w:tcPr>
            <w:tcW w:w="1617" w:type="dxa"/>
            <w:vAlign w:val="center"/>
          </w:tcPr>
          <w:p>
            <w:pPr>
              <w:pStyle w:val="3"/>
              <w:jc w:val="center"/>
              <w:spacing w:after="156" w:afterLines="50" w:before="156" w:beforeLines="50" w:lineRule="auto"/>
              <w:rPr>
                <w:szCs w:val="21"/>
                <w:rFonts w:hAnsi="宋体" w:cs="宋体" w:hint="eastAsia"/>
              </w:rPr>
            </w:pPr>
            <w:r>
              <w:rPr>
                <w:szCs w:val="21"/>
                <w:rFonts w:hAnsi="宋体" w:cs="宋体" w:hint="eastAsia"/>
              </w:rPr>
              <w:t>3.2</w:t>
            </w:r>
          </w:p>
        </w:tc>
        <w:tc>
          <w:tcPr>
            <w:tcW w:w="3460" w:type="dxa"/>
            <w:vAlign w:val="center"/>
          </w:tcPr>
          <w:p>
            <w:pPr>
              <w:pStyle w:val="3"/>
              <w:jc w:val="center"/>
              <w:spacing w:after="156" w:afterLines="50" w:before="156" w:beforeLines="50" w:lineRule="auto"/>
              <w:rPr>
                <w:lang w:val="en-US" w:eastAsia="zh-CN"/>
                <w:szCs w:val="21"/>
                <w:rFonts w:ascii="黑体" w:hAnsi="宋体" w:eastAsia="宋体" w:hint="default"/>
              </w:rPr>
            </w:pPr>
            <w:r>
              <w:rPr>
                <w:lang w:val="en-US" w:eastAsia="zh-CN"/>
                <w:szCs w:val="21"/>
                <w:rFonts w:ascii="黑体" w:hAnsi="宋体" w:hint="eastAsia"/>
              </w:rPr>
              <w:t>投资管理案例研究</w:t>
            </w:r>
          </w:p>
        </w:tc>
        <w:tc>
          <w:tcPr>
            <w:tcW w:w="2688" w:type="dxa"/>
            <w:vAlign w:val="center"/>
          </w:tcPr>
          <w:p>
            <w:pPr>
              <w:jc w:val="left"/>
              <w:spacing w:after="156" w:afterLines="50" w:before="156" w:beforeLines="50" w:lineRule="auto"/>
              <w:rPr>
                <w:rFonts w:ascii="宋体" w:hAnsi="宋体" w:eastAsia="宋体" w:cs="宋体" w:hint="eastAsia"/>
              </w:rPr>
            </w:pPr>
            <w:r>
              <w:rPr>
                <w:rFonts w:ascii="宋体" w:hAnsi="宋体" w:eastAsia="宋体" w:cs="宋体" w:hint="eastAsia"/>
              </w:rPr>
              <w:t>掌握扎实的学科基础知识和专业知识；建立一套完整的知识体系和框架；通过常识和科学思维方法进行独立思考；具备利用专业知识分析和解决会计实际问题的基本能力；具有人文和科学素质、社会责任感和会计职业道德和操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continue"/>
            <w:vAlign w:val="center"/>
          </w:tcPr>
          <w:p>
            <w:pPr>
              <w:pStyle w:val="3"/>
              <w:jc w:val="center"/>
              <w:spacing w:after="156" w:afterLines="50" w:before="156" w:beforeLines="50" w:lineRule="auto"/>
              <w:rPr>
                <w:szCs w:val="21"/>
                <w:rFonts w:hAnsi="宋体" w:cs="宋体"/>
              </w:rPr>
            </w:pPr>
          </w:p>
        </w:tc>
        <w:tc>
          <w:tcPr>
            <w:tcW w:w="1617" w:type="dxa"/>
            <w:vAlign w:val="center"/>
          </w:tcPr>
          <w:p>
            <w:pPr>
              <w:pStyle w:val="3"/>
              <w:jc w:val="center"/>
              <w:spacing w:after="156" w:afterLines="50" w:before="156" w:beforeLines="50" w:lineRule="auto"/>
              <w:rPr>
                <w:rFonts w:hAnsi="宋体" w:cs="宋体"/>
              </w:rPr>
            </w:pPr>
            <w:r>
              <w:rPr>
                <w:szCs w:val="21"/>
                <w:rFonts w:hAnsi="宋体" w:cs="宋体" w:hint="eastAsia"/>
              </w:rPr>
              <w:t>3.</w:t>
            </w:r>
            <w:r>
              <w:rPr>
                <w:szCs w:val="21"/>
                <w:rFonts w:hAnsi="宋体" w:cs="宋体"/>
              </w:rPr>
              <w:t>3</w:t>
            </w:r>
          </w:p>
        </w:tc>
        <w:tc>
          <w:tcPr>
            <w:tcW w:w="3460" w:type="dxa"/>
            <w:vAlign w:val="center"/>
          </w:tcPr>
          <w:p>
            <w:pPr>
              <w:pStyle w:val="3"/>
              <w:jc w:val="center"/>
              <w:spacing w:after="156" w:afterLines="50" w:before="156" w:beforeLines="50" w:lineRule="auto"/>
              <w:rPr>
                <w:b w:val="1"/>
                <w:lang w:val="en-US" w:eastAsia="zh-CN"/>
                <w:bCs/>
                <w:szCs w:val="21"/>
                <w:rFonts w:ascii="黑体" w:hAnsi="宋体" w:eastAsia="宋体" w:hint="default"/>
              </w:rPr>
            </w:pPr>
            <w:r>
              <w:rPr>
                <w:b w:val="1"/>
                <w:lang w:val="en-US" w:eastAsia="zh-CN"/>
                <w:bCs/>
                <w:szCs w:val="21"/>
                <w:rFonts w:ascii="黑体" w:hAnsi="宋体" w:hint="eastAsia"/>
              </w:rPr>
              <w:t>股利决策案例研究</w:t>
            </w:r>
          </w:p>
        </w:tc>
        <w:tc>
          <w:tcPr>
            <w:tcW w:w="2688" w:type="dxa"/>
            <w:vAlign w:val="center"/>
          </w:tcPr>
          <w:p>
            <w:pPr>
              <w:jc w:val="left"/>
              <w:spacing w:after="156" w:afterLines="50" w:before="156" w:beforeLines="50" w:lineRule="auto"/>
              <w:rPr>
                <w:rFonts w:ascii="宋体" w:hAnsi="宋体" w:eastAsia="宋体" w:cs="宋体"/>
              </w:rPr>
            </w:pPr>
            <w:r>
              <w:rPr>
                <w:rFonts w:ascii="宋体" w:hAnsi="宋体" w:eastAsia="宋体" w:cs="宋体"/>
              </w:rPr>
              <w:t>能</w:t>
            </w:r>
            <w:r>
              <w:rPr>
                <w:rFonts w:ascii="宋体" w:hAnsi="宋体" w:eastAsia="宋体" w:cs="宋体" w:hint="eastAsia"/>
              </w:rPr>
              <w:t>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Align w:val="center"/>
          </w:tcPr>
          <w:p>
            <w:pPr>
              <w:pStyle w:val="3"/>
              <w:jc w:val="center"/>
              <w:spacing w:after="156" w:afterLines="50" w:before="156" w:beforeLines="50" w:lineRule="auto"/>
              <w:rPr>
                <w:szCs w:val="21"/>
                <w:rFonts w:hAnsi="宋体" w:cs="宋体"/>
              </w:rPr>
            </w:pPr>
          </w:p>
        </w:tc>
        <w:tc>
          <w:tcPr>
            <w:tcW w:w="1617" w:type="dxa"/>
            <w:vAlign w:val="center"/>
          </w:tcPr>
          <w:p>
            <w:pPr>
              <w:pStyle w:val="3"/>
              <w:jc w:val="center"/>
              <w:spacing w:after="156" w:afterLines="50" w:before="156" w:beforeLines="50" w:lineRule="auto"/>
              <w:rPr>
                <w:lang w:val="en-US" w:eastAsia="zh-CN"/>
                <w:szCs w:val="21"/>
                <w:rFonts w:hAnsi="宋体" w:eastAsia="宋体" w:cs="宋体" w:hint="default"/>
              </w:rPr>
            </w:pPr>
            <w:r>
              <w:rPr>
                <w:lang w:val="en-US" w:eastAsia="zh-CN"/>
                <w:szCs w:val="21"/>
                <w:rFonts w:hAnsi="宋体" w:cs="宋体" w:hint="eastAsia"/>
              </w:rPr>
              <w:t>3.4</w:t>
            </w:r>
          </w:p>
        </w:tc>
        <w:tc>
          <w:tcPr>
            <w:tcW w:w="3460" w:type="dxa"/>
            <w:vAlign w:val="center"/>
          </w:tcPr>
          <w:p>
            <w:pPr>
              <w:pStyle w:val="3"/>
              <w:jc w:val="left"/>
              <w:tabs>
                <w:tab w:val="left" w:pos="651"/>
              </w:tabs>
              <w:spacing w:after="156" w:afterLines="50" w:before="156" w:beforeLines="50" w:lineRule="auto"/>
              <w:rPr>
                <w:b w:val="1"/>
                <w:lang w:val="en-US" w:eastAsia="zh-CN"/>
                <w:bCs/>
                <w:szCs w:val="21"/>
                <w:rFonts w:ascii="黑体" w:hAnsi="宋体" w:hint="default"/>
              </w:rPr>
            </w:pPr>
            <w:r>
              <w:tab/>
              <w:rPr>
                <w:b w:val="1"/>
                <w:lang w:val="en-US" w:eastAsia="zh-CN"/>
                <w:bCs/>
                <w:szCs w:val="21"/>
                <w:rFonts w:ascii="黑体" w:hAnsi="宋体" w:hint="eastAsia"/>
              </w:rPr>
            </w:r>
            <w:r>
              <w:rPr>
                <w:b w:val="1"/>
                <w:lang w:val="en-US" w:eastAsia="zh-CN"/>
                <w:bCs/>
                <w:szCs w:val="21"/>
                <w:rFonts w:ascii="黑体" w:hAnsi="宋体" w:hint="eastAsia"/>
              </w:rPr>
              <w:t>财务预警案例研究</w:t>
            </w:r>
          </w:p>
        </w:tc>
        <w:tc>
          <w:tcPr>
            <w:tcW w:w="2688" w:type="dxa"/>
            <w:vAlign w:val="center"/>
          </w:tcPr>
          <w:p>
            <w:pPr>
              <w:jc w:val="left"/>
              <w:tabs>
                <w:tab w:val="left" w:pos="332"/>
              </w:tabs>
              <w:spacing w:after="156" w:afterLines="50" w:before="156" w:beforeLines="50" w:lineRule="auto"/>
              <w:ind w:firstLine="420" w:firstLineChars="0"/>
              <w:rPr>
                <w:lang w:eastAsia="zh-CN"/>
                <w:rFonts w:ascii="宋体" w:hAnsi="宋体" w:eastAsia="宋体" w:cs="宋体" w:hint="eastAsia"/>
              </w:rPr>
            </w:pPr>
            <w:r>
              <w:rPr>
                <w:rFonts w:ascii="宋体" w:hAnsi="宋体" w:eastAsia="宋体" w:cs="宋体"/>
              </w:rPr>
              <w:t>能</w:t>
            </w:r>
            <w:r>
              <w:rPr>
                <w:rFonts w:ascii="宋体" w:hAnsi="宋体" w:eastAsia="宋体" w:cs="宋体" w:hint="eastAsia"/>
              </w:rPr>
              <w:t>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r>
              <w:tab/>
              <w:rPr>
                <w:lang w:eastAsia="zh-CN"/>
                <w:rFonts w:ascii="宋体" w:hAnsi="宋体" w:eastAsia="宋体" w:cs="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restart"/>
            <w:vAlign w:val="center"/>
          </w:tcPr>
          <w:p>
            <w:pPr>
              <w:pStyle w:val="3"/>
              <w:jc w:val="center"/>
              <w:spacing w:after="156" w:afterLines="50" w:before="156" w:beforeLines="50" w:lineRule="auto"/>
              <w:rPr>
                <w:szCs w:val="21"/>
                <w:rFonts w:hAnsi="宋体" w:cs="宋体"/>
              </w:rPr>
            </w:pPr>
            <w:r>
              <w:rPr>
                <w:szCs w:val="21"/>
                <w:rFonts w:hAnsi="宋体" w:cs="宋体" w:hint="eastAsia"/>
              </w:rPr>
              <w:t>课程目标4</w:t>
            </w:r>
          </w:p>
        </w:tc>
        <w:tc>
          <w:tcPr>
            <w:tcW w:w="1617" w:type="dxa"/>
            <w:vAlign w:val="center"/>
          </w:tcPr>
          <w:p>
            <w:pPr>
              <w:pStyle w:val="3"/>
              <w:jc w:val="center"/>
              <w:spacing w:after="156" w:afterLines="50" w:before="156" w:beforeLines="50" w:lineRule="auto"/>
              <w:rPr>
                <w:szCs w:val="21"/>
                <w:rFonts w:hAnsi="宋体" w:cs="宋体" w:hint="eastAsia"/>
              </w:rPr>
            </w:pPr>
            <w:r>
              <w:rPr>
                <w:szCs w:val="21"/>
                <w:rFonts w:hAnsi="宋体" w:cs="宋体" w:hint="eastAsia"/>
              </w:rPr>
              <w:t>4</w:t>
            </w:r>
            <w:r>
              <w:rPr>
                <w:szCs w:val="21"/>
                <w:rFonts w:hAnsi="宋体" w:cs="宋体"/>
              </w:rPr>
              <w:t>.1</w:t>
            </w:r>
          </w:p>
        </w:tc>
        <w:tc>
          <w:tcPr>
            <w:tcW w:w="3460" w:type="dxa"/>
            <w:vAlign w:val="center"/>
          </w:tcPr>
          <w:p>
            <w:pPr>
              <w:pStyle w:val="3"/>
              <w:jc w:val="center"/>
              <w:spacing w:after="156" w:afterLines="50" w:before="156" w:beforeLines="50" w:lineRule="auto"/>
              <w:rPr>
                <w:szCs w:val="21"/>
                <w:rFonts w:ascii="黑体" w:hAnsi="宋体" w:hint="eastAsia"/>
              </w:rPr>
            </w:pPr>
            <w:r>
              <w:rPr>
                <w:szCs w:val="21"/>
                <w:rFonts w:ascii="黑体" w:hAnsi="宋体" w:hint="eastAsia"/>
              </w:rPr>
              <w:t>相关章节的撰写课程论文</w:t>
            </w:r>
          </w:p>
        </w:tc>
        <w:tc>
          <w:tcPr>
            <w:tcW w:w="2688" w:type="dxa"/>
            <w:vAlign w:val="center"/>
          </w:tcPr>
          <w:p>
            <w:pPr>
              <w:jc w:val="left"/>
              <w:spacing w:after="156" w:afterLines="50" w:before="156" w:beforeLines="50" w:lineRule="auto"/>
              <w:rPr>
                <w:rFonts w:ascii="宋体" w:hAnsi="宋体" w:eastAsia="宋体" w:cs="宋体" w:hint="eastAsia"/>
              </w:rPr>
            </w:pPr>
            <w:r>
              <w:rPr>
                <w:rFonts w:ascii="宋体" w:hAnsi="宋体" w:eastAsia="宋体" w:cs="宋体" w:hint="eastAsia"/>
              </w:rPr>
              <w:t>能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1302" w:type="dxa"/>
            <w:vMerge w:val="continue"/>
            <w:vAlign w:val="center"/>
          </w:tcPr>
          <w:p>
            <w:pPr>
              <w:pStyle w:val="3"/>
              <w:jc w:val="center"/>
              <w:spacing w:after="156" w:afterLines="50" w:before="156" w:beforeLines="50" w:lineRule="auto"/>
              <w:rPr>
                <w:szCs w:val="21"/>
                <w:rFonts w:hAnsi="宋体" w:cs="宋体"/>
              </w:rPr>
            </w:pPr>
          </w:p>
        </w:tc>
        <w:tc>
          <w:tcPr>
            <w:tcW w:w="1617" w:type="dxa"/>
            <w:vAlign w:val="center"/>
          </w:tcPr>
          <w:p>
            <w:pPr>
              <w:pStyle w:val="3"/>
              <w:jc w:val="center"/>
              <w:spacing w:after="156" w:afterLines="50" w:before="156" w:beforeLines="50" w:lineRule="auto"/>
              <w:rPr>
                <w:szCs w:val="21"/>
                <w:rFonts w:hAnsi="宋体" w:cs="宋体" w:hint="eastAsia"/>
              </w:rPr>
            </w:pPr>
            <w:r>
              <w:rPr>
                <w:szCs w:val="21"/>
                <w:rFonts w:hAnsi="宋体" w:cs="宋体" w:hint="eastAsia"/>
              </w:rPr>
              <w:t>4</w:t>
            </w:r>
            <w:r>
              <w:rPr>
                <w:szCs w:val="21"/>
                <w:rFonts w:hAnsi="宋体" w:cs="宋体"/>
              </w:rPr>
              <w:t>.2</w:t>
            </w:r>
          </w:p>
        </w:tc>
        <w:tc>
          <w:tcPr>
            <w:tcW w:w="3460" w:type="dxa"/>
            <w:vAlign w:val="center"/>
          </w:tcPr>
          <w:p>
            <w:pPr>
              <w:pStyle w:val="3"/>
              <w:jc w:val="center"/>
              <w:spacing w:after="156" w:afterLines="50" w:before="156" w:beforeLines="50" w:lineRule="auto"/>
              <w:rPr>
                <w:szCs w:val="21"/>
                <w:rFonts w:ascii="黑体" w:hAnsi="宋体" w:hint="eastAsia"/>
              </w:rPr>
            </w:pPr>
            <w:r>
              <w:rPr>
                <w:szCs w:val="21"/>
                <w:rFonts w:ascii="黑体" w:hAnsi="宋体" w:hint="eastAsia"/>
              </w:rPr>
              <w:t>相关章节的分组案例分析</w:t>
            </w:r>
          </w:p>
        </w:tc>
        <w:tc>
          <w:tcPr>
            <w:tcW w:w="2688" w:type="dxa"/>
            <w:vAlign w:val="center"/>
          </w:tcPr>
          <w:p>
            <w:pPr>
              <w:jc w:val="left"/>
              <w:spacing w:after="156" w:afterLines="50" w:before="156" w:beforeLines="50" w:lineRule="auto"/>
              <w:rPr>
                <w:rFonts w:ascii="宋体" w:hAnsi="宋体" w:eastAsia="宋体" w:cs="宋体" w:hint="eastAsia"/>
              </w:rPr>
            </w:pPr>
            <w:r>
              <w:rPr>
                <w:rFonts w:ascii="宋体" w:hAnsi="宋体" w:eastAsia="宋体" w:cs="宋体" w:hint="eastAsia"/>
              </w:rPr>
              <w:t>能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p>
        </w:tc>
      </w:tr>
    </w:tbl>
    <w:p>
      <w:pPr>
        <w:pStyle w:val="3"/>
        <w:jc w:val="center"/>
        <w:spacing w:after="156" w:afterLines="50" w:before="156" w:beforeLines="50" w:lineRule="auto"/>
        <w:rPr>
          <w:b w:val="1"/>
          <w:bCs/>
          <w:szCs w:val="21"/>
          <w:rFonts w:ascii="黑体" w:hAnsi="宋体"/>
        </w:rPr>
      </w:pPr>
    </w:p>
    <w:p>
      <w:pPr>
        <w:jc w:val="left"/>
        <w:widowControl/>
        <w:numPr>
          <w:ilvl w:val="0"/>
          <w:numId w:val="4"/>
        </w:numPr>
        <w:spacing w:after="156" w:afterLines="50" w:before="156" w:beforeLines="50" w:lineRule="auto"/>
        <w:ind w:firstLine="562" w:firstLineChars="200"/>
        <w:rPr>
          <w:b w:val="1"/>
          <w:sz w:val="28"/>
          <w:szCs w:val="28"/>
          <w:rFonts w:ascii="黑体" w:hAnsi="黑体" w:eastAsia="黑体"/>
        </w:rPr>
      </w:pPr>
      <w:r>
        <w:rPr>
          <w:b w:val="1"/>
          <w:sz w:val="28"/>
          <w:szCs w:val="28"/>
          <w:rFonts w:ascii="黑体" w:hAnsi="黑体" w:eastAsia="黑体" w:hint="eastAsia"/>
        </w:rPr>
        <w:t>教学内容</w:t>
      </w:r>
    </w:p>
    <w:p>
      <w:pPr>
        <w:jc w:val="left"/>
        <w:widowControl/>
        <w:spacing w:after="156" w:afterLines="50" w:before="156" w:beforeLines="50" w:lineRule="auto"/>
      </w:pPr>
      <w:r>
        <w:rPr>
          <w:b w:val="1"/>
          <w:sz w:val="24"/>
          <w:szCs w:val="24"/>
          <w:rFonts w:ascii="黑体" w:hAnsi="黑体" w:eastAsia="黑体" w:cs="Times New Roman" w:hint="eastAsia"/>
        </w:rPr>
        <w:t xml:space="preserve">  第一章</w:t>
      </w:r>
      <w:r>
        <w:rPr>
          <w:b w:val="1"/>
          <w:sz w:val="24"/>
          <w:szCs w:val="24"/>
          <w:rFonts w:ascii="黑体" w:hAnsi="黑体" w:eastAsia="黑体" w:cs="Times New Roman"/>
        </w:rPr>
        <w:t xml:space="preserve"> </w:t>
      </w:r>
      <w:r>
        <w:rPr>
          <w:b w:val="1"/>
          <w:sz w:val="24"/>
          <w:lang w:val="en-US" w:eastAsia="zh-CN"/>
          <w:szCs w:val="24"/>
          <w:rFonts w:ascii="黑体" w:hAnsi="黑体" w:eastAsia="黑体" w:cs="Times New Roman" w:hint="eastAsia"/>
        </w:rPr>
        <w:t>绪</w:t>
      </w:r>
      <w:r>
        <w:rPr>
          <w:b w:val="1"/>
          <w:sz w:val="24"/>
          <w:szCs w:val="24"/>
          <w:rFonts w:ascii="黑体" w:hAnsi="黑体" w:eastAsia="黑体" w:cs="Times New Roman"/>
        </w:rPr>
        <w:t>论</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宋体"/>
        </w:rPr>
        <w:t>1.</w:t>
      </w:r>
      <w:r>
        <w:rPr>
          <w:color w:val="000000"/>
          <w:kern w:val="0"/>
          <w:szCs w:val="21"/>
          <w:rFonts w:ascii="宋体" w:hAnsi="宋体" w:eastAsia="宋体" w:cs="宋体" w:hint="eastAsia"/>
        </w:rPr>
        <w:t>教学目标：（1）理解财务管理</w:t>
      </w:r>
      <w:r>
        <w:rPr>
          <w:color w:val="000000"/>
          <w:lang w:val="en-US" w:eastAsia="zh-CN"/>
          <w:kern w:val="0"/>
          <w:szCs w:val="21"/>
          <w:rFonts w:ascii="宋体" w:hAnsi="宋体" w:eastAsia="宋体" w:cs="宋体" w:hint="eastAsia"/>
        </w:rPr>
        <w:t>案例教学法</w:t>
      </w:r>
      <w:r>
        <w:rPr>
          <w:color w:val="000000"/>
          <w:kern w:val="0"/>
          <w:szCs w:val="21"/>
          <w:rFonts w:ascii="宋体" w:hAnsi="宋体" w:eastAsia="宋体" w:cs="宋体" w:hint="eastAsia"/>
        </w:rPr>
        <w:t>的特点；（2）了解财务管理</w:t>
      </w:r>
      <w:r>
        <w:rPr>
          <w:color w:val="000000"/>
          <w:lang w:val="en-US" w:eastAsia="zh-CN"/>
          <w:kern w:val="0"/>
          <w:szCs w:val="21"/>
          <w:rFonts w:ascii="宋体" w:hAnsi="宋体" w:eastAsia="宋体" w:cs="宋体" w:hint="eastAsia"/>
        </w:rPr>
        <w:t>案例研究</w:t>
      </w:r>
      <w:r>
        <w:rPr>
          <w:color w:val="000000"/>
          <w:kern w:val="0"/>
          <w:szCs w:val="21"/>
          <w:rFonts w:ascii="宋体" w:hAnsi="宋体" w:eastAsia="宋体" w:cs="宋体" w:hint="eastAsia"/>
        </w:rPr>
        <w:t>和一般的财务管理的差异；（3）了解财务管理</w:t>
      </w:r>
      <w:r>
        <w:rPr>
          <w:color w:val="000000"/>
          <w:lang w:val="en-US" w:eastAsia="zh-CN"/>
          <w:kern w:val="0"/>
          <w:szCs w:val="21"/>
          <w:rFonts w:ascii="宋体" w:hAnsi="宋体" w:eastAsia="宋体" w:cs="宋体" w:hint="eastAsia"/>
        </w:rPr>
        <w:t>案例研究</w:t>
      </w:r>
      <w:r>
        <w:rPr>
          <w:color w:val="000000"/>
          <w:kern w:val="0"/>
          <w:szCs w:val="21"/>
          <w:rFonts w:ascii="宋体" w:hAnsi="宋体" w:eastAsia="宋体" w:cs="宋体" w:hint="eastAsia"/>
        </w:rPr>
        <w:t>的理论框架和具体内容；</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2.</w:t>
      </w:r>
      <w:r>
        <w:rPr>
          <w:color w:val="000000"/>
          <w:kern w:val="0"/>
          <w:szCs w:val="21"/>
          <w:rFonts w:ascii="宋体" w:hAnsi="宋体" w:eastAsia="宋体" w:cs="宋体" w:hint="eastAsia"/>
        </w:rPr>
        <w:t>教学重难点：（1）财务管理</w:t>
      </w:r>
      <w:r>
        <w:rPr>
          <w:color w:val="000000"/>
          <w:lang w:val="en-US" w:eastAsia="zh-CN"/>
          <w:kern w:val="0"/>
          <w:szCs w:val="21"/>
          <w:rFonts w:ascii="宋体" w:hAnsi="宋体" w:eastAsia="宋体" w:cs="宋体" w:hint="eastAsia"/>
        </w:rPr>
        <w:t>案例研究</w:t>
      </w:r>
      <w:r>
        <w:rPr>
          <w:color w:val="000000"/>
          <w:kern w:val="0"/>
          <w:szCs w:val="21"/>
          <w:rFonts w:ascii="宋体" w:hAnsi="宋体" w:eastAsia="宋体" w:cs="宋体" w:hint="eastAsia"/>
        </w:rPr>
        <w:t>的切入点；（2）财务管理</w:t>
      </w:r>
      <w:r>
        <w:rPr>
          <w:color w:val="000000"/>
          <w:lang w:val="en-US" w:eastAsia="zh-CN"/>
          <w:kern w:val="0"/>
          <w:szCs w:val="21"/>
          <w:rFonts w:ascii="宋体" w:hAnsi="宋体" w:eastAsia="宋体" w:cs="宋体" w:hint="eastAsia"/>
        </w:rPr>
        <w:t>案例研究</w:t>
      </w:r>
      <w:r>
        <w:rPr>
          <w:color w:val="000000"/>
          <w:kern w:val="0"/>
          <w:szCs w:val="21"/>
          <w:rFonts w:ascii="宋体" w:hAnsi="宋体" w:eastAsia="宋体" w:cs="宋体" w:hint="eastAsia"/>
        </w:rPr>
        <w:t>的内涵和特征；（3）</w:t>
      </w:r>
      <w:r>
        <w:rPr>
          <w:color w:val="000000"/>
          <w:lang w:val="en-US" w:eastAsia="zh-CN"/>
          <w:kern w:val="0"/>
          <w:szCs w:val="21"/>
          <w:rFonts w:ascii="宋体" w:hAnsi="宋体" w:eastAsia="宋体" w:cs="宋体" w:hint="eastAsia"/>
        </w:rPr>
        <w:t>财务管理案例研究的步骤</w:t>
      </w:r>
      <w:r>
        <w:rPr>
          <w:color w:val="000000"/>
          <w:kern w:val="0"/>
          <w:szCs w:val="21"/>
          <w:rFonts w:ascii="宋体" w:hAnsi="宋体" w:eastAsia="宋体" w:cs="宋体" w:hint="eastAsia"/>
        </w:rPr>
        <w:t>。</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3.</w:t>
      </w:r>
      <w:r>
        <w:rPr>
          <w:color w:val="000000"/>
          <w:kern w:val="0"/>
          <w:szCs w:val="21"/>
          <w:rFonts w:ascii="宋体" w:hAnsi="宋体" w:eastAsia="宋体" w:cs="宋体" w:hint="eastAsia"/>
        </w:rPr>
        <w:t>教学内容：（1）</w:t>
      </w:r>
      <w:r>
        <w:rPr>
          <w:color w:val="000000"/>
          <w:kern w:val="0"/>
          <w:szCs w:val="21"/>
          <w:rFonts w:ascii="宋体" w:hAnsi="宋体" w:eastAsia="宋体" w:cs="TimesNewRomanPSMT"/>
        </w:rPr>
        <w:t>财务管理</w:t>
      </w:r>
      <w:r>
        <w:rPr>
          <w:color w:val="000000"/>
          <w:lang w:val="en-US" w:eastAsia="zh-CN"/>
          <w:kern w:val="0"/>
          <w:szCs w:val="21"/>
          <w:rFonts w:ascii="宋体" w:hAnsi="宋体" w:eastAsia="宋体" w:cs="TimesNewRomanPSMT" w:hint="eastAsia"/>
        </w:rPr>
        <w:t>案例研究</w:t>
      </w:r>
      <w:r>
        <w:rPr>
          <w:color w:val="000000"/>
          <w:kern w:val="0"/>
          <w:szCs w:val="21"/>
          <w:rFonts w:ascii="宋体" w:hAnsi="宋体" w:eastAsia="宋体" w:cs="TimesNewRomanPSMT"/>
        </w:rPr>
        <w:t>的特点</w:t>
      </w:r>
      <w:r>
        <w:rPr>
          <w:color w:val="000000"/>
          <w:kern w:val="0"/>
          <w:szCs w:val="21"/>
          <w:rFonts w:ascii="宋体" w:hAnsi="宋体" w:eastAsia="宋体" w:cs="宋体" w:hint="eastAsia"/>
        </w:rPr>
        <w:t>；（2）</w:t>
      </w:r>
      <w:r>
        <w:rPr>
          <w:color w:val="000000"/>
          <w:kern w:val="0"/>
          <w:szCs w:val="21"/>
          <w:rFonts w:ascii="宋体" w:hAnsi="宋体" w:eastAsia="宋体" w:cs="TimesNewRomanPSMT"/>
        </w:rPr>
        <w:t>财务管理</w:t>
      </w:r>
      <w:r>
        <w:rPr>
          <w:color w:val="000000"/>
          <w:lang w:val="en-US" w:eastAsia="zh-CN"/>
          <w:kern w:val="0"/>
          <w:szCs w:val="21"/>
          <w:rFonts w:ascii="宋体" w:hAnsi="宋体" w:eastAsia="宋体" w:cs="TimesNewRomanPSMT" w:hint="eastAsia"/>
        </w:rPr>
        <w:t>案例研究</w:t>
      </w:r>
      <w:r>
        <w:rPr>
          <w:color w:val="000000"/>
          <w:kern w:val="0"/>
          <w:szCs w:val="21"/>
          <w:rFonts w:ascii="宋体" w:hAnsi="宋体" w:eastAsia="宋体" w:cs="TimesNewRomanPSMT"/>
        </w:rPr>
        <w:t>的理论框架</w:t>
      </w:r>
      <w:r>
        <w:rPr>
          <w:color w:val="000000"/>
          <w:kern w:val="0"/>
          <w:szCs w:val="21"/>
          <w:rFonts w:ascii="宋体" w:hAnsi="宋体" w:eastAsia="宋体" w:cs="宋体" w:hint="eastAsia"/>
        </w:rPr>
        <w:t>；（3）</w:t>
      </w:r>
      <w:r>
        <w:rPr>
          <w:color w:val="000000"/>
          <w:kern w:val="0"/>
          <w:szCs w:val="21"/>
          <w:rFonts w:ascii="宋体" w:hAnsi="宋体" w:eastAsia="宋体" w:cs="TimesNewRomanPSMT"/>
        </w:rPr>
        <w:t>财务管理</w:t>
      </w:r>
      <w:r>
        <w:rPr>
          <w:color w:val="000000"/>
          <w:lang w:val="en-US" w:eastAsia="zh-CN"/>
          <w:kern w:val="0"/>
          <w:szCs w:val="21"/>
          <w:rFonts w:ascii="宋体" w:hAnsi="宋体" w:eastAsia="宋体" w:cs="TimesNewRomanPSMT" w:hint="eastAsia"/>
        </w:rPr>
        <w:t>案例研究</w:t>
      </w:r>
      <w:r>
        <w:rPr>
          <w:color w:val="000000"/>
          <w:kern w:val="0"/>
          <w:szCs w:val="21"/>
          <w:rFonts w:ascii="宋体" w:hAnsi="宋体" w:eastAsia="宋体" w:cs="TimesNewRomanPSMT"/>
        </w:rPr>
        <w:t>和中级财务管理的差异</w:t>
      </w:r>
      <w:r>
        <w:rPr>
          <w:color w:val="000000"/>
          <w:kern w:val="0"/>
          <w:szCs w:val="21"/>
          <w:rFonts w:ascii="宋体" w:hAnsi="宋体" w:eastAsia="宋体" w:cs="TimesNewRomanPSMT" w:hint="eastAsia"/>
        </w:rPr>
        <w:t>；（4）</w:t>
      </w:r>
      <w:r>
        <w:rPr>
          <w:color w:val="000000"/>
          <w:kern w:val="0"/>
          <w:szCs w:val="21"/>
          <w:rFonts w:ascii="宋体" w:hAnsi="宋体" w:eastAsia="宋体" w:cs="TimesNewRomanPSMT"/>
        </w:rPr>
        <w:t>财务管理</w:t>
      </w:r>
      <w:r>
        <w:rPr>
          <w:color w:val="000000"/>
          <w:lang w:val="en-US" w:eastAsia="zh-CN"/>
          <w:kern w:val="0"/>
          <w:szCs w:val="21"/>
          <w:rFonts w:ascii="宋体" w:hAnsi="宋体" w:eastAsia="宋体" w:cs="TimesNewRomanPSMT" w:hint="eastAsia"/>
        </w:rPr>
        <w:t>案例研究</w:t>
      </w:r>
      <w:r>
        <w:rPr>
          <w:color w:val="000000"/>
          <w:kern w:val="0"/>
          <w:szCs w:val="21"/>
          <w:rFonts w:ascii="宋体" w:hAnsi="宋体" w:eastAsia="宋体" w:cs="TimesNewRomanPSMT"/>
        </w:rPr>
        <w:t>的具体内容</w:t>
      </w:r>
      <w:r>
        <w:rPr>
          <w:color w:val="000000"/>
          <w:kern w:val="0"/>
          <w:szCs w:val="21"/>
          <w:rFonts w:ascii="宋体" w:hAnsi="宋体" w:eastAsia="宋体" w:cs="TimesNewRomanPSMT" w:hint="eastAsia"/>
        </w:rPr>
        <w:t>。</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4.</w:t>
      </w:r>
      <w:r>
        <w:rPr>
          <w:color w:val="000000"/>
          <w:kern w:val="0"/>
          <w:szCs w:val="21"/>
          <w:rFonts w:ascii="宋体" w:hAnsi="宋体" w:eastAsia="宋体" w:cs="TimesNewRomanPSMT" w:hint="eastAsia"/>
        </w:rPr>
        <w:t>教学方法：讲授、讨论、案例分析。</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5.</w:t>
      </w:r>
      <w:r>
        <w:rPr>
          <w:color w:val="000000"/>
          <w:kern w:val="0"/>
          <w:szCs w:val="21"/>
          <w:rFonts w:ascii="宋体" w:hAnsi="宋体" w:eastAsia="宋体" w:cs="TimesNewRomanPSMT" w:hint="eastAsia"/>
        </w:rPr>
        <w:t>教学评价：思考</w:t>
      </w:r>
      <w:r>
        <w:rPr>
          <w:color w:val="000000"/>
          <w:lang w:val="en-US" w:eastAsia="zh-CN"/>
          <w:kern w:val="0"/>
          <w:szCs w:val="21"/>
          <w:rFonts w:ascii="宋体" w:hAnsi="宋体" w:eastAsia="宋体" w:cs="TimesNewRomanPSMT" w:hint="eastAsia"/>
        </w:rPr>
        <w:t>财务管理案例教学法</w:t>
      </w:r>
      <w:r>
        <w:rPr>
          <w:color w:val="000000"/>
          <w:kern w:val="0"/>
          <w:szCs w:val="21"/>
          <w:rFonts w:ascii="宋体" w:hAnsi="宋体" w:eastAsia="宋体" w:cs="TimesNewRomanPSMT" w:hint="eastAsia"/>
        </w:rPr>
        <w:t>及其实现方式，针对“财务管理</w:t>
      </w:r>
      <w:r>
        <w:rPr>
          <w:color w:val="000000"/>
          <w:lang w:val="en-US" w:eastAsia="zh-CN"/>
          <w:kern w:val="0"/>
          <w:szCs w:val="21"/>
          <w:rFonts w:ascii="宋体" w:hAnsi="宋体" w:eastAsia="宋体" w:cs="TimesNewRomanPSMT" w:hint="eastAsia"/>
        </w:rPr>
        <w:t>案例研究</w:t>
      </w:r>
      <w:r>
        <w:rPr>
          <w:color w:val="000000"/>
          <w:kern w:val="0"/>
          <w:szCs w:val="21"/>
          <w:rFonts w:ascii="宋体" w:hAnsi="宋体" w:eastAsia="宋体" w:cs="TimesNewRomanPSMT" w:hint="eastAsia"/>
        </w:rPr>
        <w:t>的基本问题”完成一篇课程论文。</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p>
    <w:p>
      <w:pPr>
        <w:jc w:val="left"/>
        <w:widowControl/>
        <w:spacing w:after="156" w:afterLines="50" w:before="156" w:beforeLines="50" w:lineRule="auto"/>
        <w:ind w:firstLine="482" w:firstLineChars="200"/>
        <w:rPr>
          <w:b w:val="1"/>
          <w:sz w:val="24"/>
          <w:lang w:val="en-US" w:eastAsia="zh-CN"/>
          <w:szCs w:val="24"/>
          <w:rFonts w:ascii="黑体" w:hAnsi="黑体" w:eastAsia="黑体" w:cs="Times New Roman" w:hint="eastAsia"/>
        </w:rPr>
      </w:pPr>
      <w:r>
        <w:rPr>
          <w:b w:val="1"/>
          <w:sz w:val="24"/>
          <w:szCs w:val="24"/>
          <w:rFonts w:ascii="黑体" w:hAnsi="黑体" w:eastAsia="黑体" w:cs="Times New Roman" w:hint="eastAsia"/>
        </w:rPr>
        <w:t>第二章</w:t>
      </w:r>
      <w:r>
        <w:rPr>
          <w:b w:val="1"/>
          <w:sz w:val="24"/>
          <w:szCs w:val="24"/>
          <w:rFonts w:ascii="黑体" w:hAnsi="黑体" w:eastAsia="黑体" w:cs="Times New Roman"/>
        </w:rPr>
        <w:t xml:space="preserve">  财务</w:t>
      </w:r>
      <w:r>
        <w:rPr>
          <w:b w:val="1"/>
          <w:sz w:val="24"/>
          <w:lang w:val="en-US" w:eastAsia="zh-CN"/>
          <w:szCs w:val="24"/>
          <w:rFonts w:ascii="黑体" w:hAnsi="黑体" w:eastAsia="黑体" w:cs="Times New Roman" w:hint="eastAsia"/>
        </w:rPr>
        <w:t>预算</w:t>
      </w:r>
      <w:r>
        <w:rPr>
          <w:b w:val="1"/>
          <w:sz w:val="24"/>
          <w:szCs w:val="24"/>
          <w:rFonts w:ascii="黑体" w:hAnsi="黑体" w:eastAsia="黑体" w:cs="Times New Roman"/>
        </w:rPr>
        <w:t>管理</w:t>
      </w:r>
      <w:r>
        <w:rPr>
          <w:b w:val="1"/>
          <w:sz w:val="24"/>
          <w:lang w:val="en-US" w:eastAsia="zh-CN"/>
          <w:szCs w:val="24"/>
          <w:rFonts w:ascii="黑体" w:hAnsi="黑体" w:eastAsia="黑体" w:cs="Times New Roman" w:hint="eastAsia"/>
        </w:rPr>
        <w:t>案例</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1.</w:t>
      </w:r>
      <w:r>
        <w:rPr>
          <w:color w:val="000000"/>
          <w:kern w:val="0"/>
          <w:szCs w:val="21"/>
          <w:rFonts w:ascii="宋体" w:hAnsi="宋体" w:eastAsia="宋体" w:cs="宋体" w:hint="eastAsia"/>
        </w:rPr>
        <w:t>教学目标：</w:t>
      </w:r>
      <w:r>
        <w:rPr>
          <w:color w:val="000000"/>
          <w:kern w:val="0"/>
          <w:szCs w:val="21"/>
          <w:rFonts w:ascii="宋体" w:hAnsi="宋体" w:eastAsia="宋体" w:cs="TimesNewRomanPSMT" w:hint="eastAsia"/>
        </w:rPr>
        <w:t>（</w:t>
      </w:r>
      <w:r>
        <w:rPr>
          <w:color w:val="000000"/>
          <w:kern w:val="0"/>
          <w:szCs w:val="21"/>
          <w:rFonts w:ascii="宋体" w:hAnsi="宋体" w:eastAsia="宋体" w:cs="TimesNewRomanPSMT"/>
        </w:rPr>
        <w:t>1</w:t>
      </w:r>
      <w:r>
        <w:rPr>
          <w:color w:val="000000"/>
          <w:kern w:val="0"/>
          <w:szCs w:val="21"/>
          <w:rFonts w:ascii="宋体" w:hAnsi="宋体" w:eastAsia="宋体" w:cs="TimesNewRomanPSMT" w:hint="eastAsia"/>
        </w:rPr>
        <w:t>）理解预算管理的重要性极其作用；（</w:t>
      </w:r>
      <w:r>
        <w:rPr>
          <w:color w:val="000000"/>
          <w:kern w:val="0"/>
          <w:szCs w:val="21"/>
          <w:rFonts w:ascii="宋体" w:hAnsi="宋体" w:eastAsia="宋体" w:cs="TimesNewRomanPSMT"/>
        </w:rPr>
        <w:t>2</w:t>
      </w:r>
      <w:r>
        <w:rPr>
          <w:color w:val="000000"/>
          <w:kern w:val="0"/>
          <w:szCs w:val="21"/>
          <w:rFonts w:ascii="宋体" w:hAnsi="宋体" w:eastAsia="宋体" w:cs="TimesNewRomanPSMT" w:hint="eastAsia"/>
        </w:rPr>
        <w:t>）学会预算目标的制定和预算编制；（</w:t>
      </w:r>
      <w:r>
        <w:rPr>
          <w:color w:val="000000"/>
          <w:kern w:val="0"/>
          <w:szCs w:val="21"/>
          <w:rFonts w:ascii="宋体" w:hAnsi="宋体" w:eastAsia="宋体" w:cs="TimesNewRomanPSMT"/>
        </w:rPr>
        <w:t>3</w:t>
      </w:r>
      <w:r>
        <w:rPr>
          <w:color w:val="000000"/>
          <w:kern w:val="0"/>
          <w:szCs w:val="21"/>
          <w:rFonts w:ascii="宋体" w:hAnsi="宋体" w:eastAsia="宋体" w:cs="TimesNewRomanPSMT" w:hint="eastAsia"/>
        </w:rPr>
        <w:t>）学会预算的执行和控制的方法；（</w:t>
      </w:r>
      <w:r>
        <w:rPr>
          <w:color w:val="000000"/>
          <w:kern w:val="0"/>
          <w:szCs w:val="21"/>
          <w:rFonts w:ascii="宋体" w:hAnsi="宋体" w:eastAsia="宋体" w:cs="TimesNewRomanPSMT"/>
        </w:rPr>
        <w:t>4</w:t>
      </w:r>
      <w:r>
        <w:rPr>
          <w:color w:val="000000"/>
          <w:kern w:val="0"/>
          <w:szCs w:val="21"/>
          <w:rFonts w:ascii="宋体" w:hAnsi="宋体" w:eastAsia="宋体" w:cs="TimesNewRomanPSMT" w:hint="eastAsia"/>
        </w:rPr>
        <w:t>）熟悉预算分析和考核。</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2.</w:t>
      </w:r>
      <w:r>
        <w:rPr>
          <w:color w:val="000000"/>
          <w:kern w:val="0"/>
          <w:szCs w:val="21"/>
          <w:rFonts w:ascii="宋体" w:hAnsi="宋体" w:eastAsia="宋体" w:cs="宋体" w:hint="eastAsia"/>
        </w:rPr>
        <w:t>教学重难点：（1）财务预算的内涵；（2）财务预算的编制；（3）财务预算的执行和控制；（4）财务预算的分析和考核。</w:t>
      </w:r>
    </w:p>
    <w:p>
      <w:pPr>
        <w:jc w:val="left"/>
        <w:widowControl/>
        <w:spacing w:after="156" w:afterLines="50" w:before="156" w:beforeLines="50" w:lineRule="auto"/>
        <w:ind w:firstLine="420" w:firstLineChars="200"/>
        <w:rPr>
          <w:szCs w:val="21"/>
          <w:rFonts w:ascii="宋体" w:hAnsi="宋体" w:eastAsia="宋体"/>
        </w:rPr>
      </w:pPr>
      <w:r>
        <w:rPr>
          <w:color w:val="000000"/>
          <w:kern w:val="0"/>
          <w:szCs w:val="21"/>
          <w:rFonts w:ascii="宋体" w:hAnsi="宋体" w:eastAsia="宋体" w:cs="TimesNewRomanPSMT"/>
        </w:rPr>
        <w:t>3.</w:t>
      </w:r>
      <w:r>
        <w:rPr>
          <w:color w:val="000000"/>
          <w:kern w:val="0"/>
          <w:szCs w:val="21"/>
          <w:rFonts w:ascii="宋体" w:hAnsi="宋体" w:eastAsia="宋体" w:cs="宋体" w:hint="eastAsia"/>
        </w:rPr>
        <w:t>教学内容：（1）</w:t>
      </w:r>
      <w:r>
        <w:rPr>
          <w:color w:val="000000"/>
          <w:kern w:val="0"/>
          <w:szCs w:val="21"/>
          <w:rFonts w:ascii="宋体" w:hAnsi="宋体" w:eastAsia="宋体" w:cs="TimesNewRomanPSMT"/>
        </w:rPr>
        <w:t>集团企业预算管理</w:t>
      </w:r>
      <w:r>
        <w:rPr>
          <w:color w:val="000000"/>
          <w:kern w:val="0"/>
          <w:szCs w:val="21"/>
          <w:rFonts w:ascii="宋体" w:hAnsi="宋体" w:eastAsia="宋体" w:cs="TimesNewRomanPSMT" w:hint="eastAsia"/>
        </w:rPr>
        <w:t>和指导思想</w:t>
      </w:r>
      <w:r>
        <w:rPr>
          <w:color w:val="000000"/>
          <w:kern w:val="0"/>
          <w:szCs w:val="21"/>
          <w:rFonts w:ascii="宋体" w:hAnsi="宋体" w:eastAsia="宋体" w:cs="宋体" w:hint="eastAsia"/>
        </w:rPr>
        <w:t>；（2）</w:t>
      </w:r>
      <w:r>
        <w:rPr>
          <w:color w:val="000000"/>
          <w:kern w:val="0"/>
          <w:szCs w:val="21"/>
          <w:rFonts w:ascii="宋体" w:hAnsi="宋体" w:eastAsia="宋体" w:cs="TimesNewRomanPSMT"/>
        </w:rPr>
        <w:t>集团企业预算管理的组织体系</w:t>
      </w:r>
      <w:r>
        <w:rPr>
          <w:color w:val="000000"/>
          <w:kern w:val="0"/>
          <w:szCs w:val="21"/>
          <w:rFonts w:ascii="宋体" w:hAnsi="宋体" w:eastAsia="宋体" w:cs="宋体" w:hint="eastAsia"/>
        </w:rPr>
        <w:t>；（3）</w:t>
      </w:r>
      <w:r>
        <w:rPr>
          <w:color w:val="000000"/>
          <w:kern w:val="0"/>
          <w:szCs w:val="21"/>
          <w:rFonts w:ascii="宋体" w:hAnsi="宋体" w:eastAsia="宋体" w:cs="TimesNewRomanPSMT"/>
        </w:rPr>
        <w:t>预算目标的制定</w:t>
      </w:r>
      <w:r>
        <w:rPr>
          <w:color w:val="000000"/>
          <w:kern w:val="0"/>
          <w:szCs w:val="21"/>
          <w:rFonts w:ascii="宋体" w:hAnsi="宋体" w:eastAsia="宋体" w:cs="TimesNewRomanPSMT" w:hint="eastAsia"/>
        </w:rPr>
        <w:t>和预算的编制</w:t>
      </w:r>
      <w:r>
        <w:rPr>
          <w:color w:val="000000"/>
          <w:kern w:val="0"/>
          <w:szCs w:val="21"/>
          <w:rFonts w:ascii="宋体" w:hAnsi="宋体" w:eastAsia="宋体" w:cs="宋体" w:hint="eastAsia"/>
        </w:rPr>
        <w:t>；（4）</w:t>
      </w:r>
      <w:r>
        <w:rPr>
          <w:color w:val="000000"/>
          <w:kern w:val="0"/>
          <w:szCs w:val="21"/>
          <w:rFonts w:ascii="宋体" w:hAnsi="宋体" w:eastAsia="宋体" w:cs="TimesNewRomanPSMT"/>
        </w:rPr>
        <w:t>财务预算的执行、控制和调整</w:t>
      </w:r>
      <w:r>
        <w:rPr>
          <w:color w:val="000000"/>
          <w:kern w:val="0"/>
          <w:szCs w:val="21"/>
          <w:rFonts w:ascii="宋体" w:hAnsi="宋体" w:eastAsia="宋体" w:cs="宋体" w:hint="eastAsia"/>
        </w:rPr>
        <w:t>；（5）</w:t>
      </w:r>
      <w:r>
        <w:rPr>
          <w:color w:val="000000"/>
          <w:kern w:val="0"/>
          <w:szCs w:val="21"/>
          <w:rFonts w:ascii="宋体" w:hAnsi="宋体" w:eastAsia="宋体" w:cs="TimesNewRomanPSMT"/>
        </w:rPr>
        <w:t>财务预算的分析和考核</w:t>
      </w:r>
      <w:r>
        <w:rPr>
          <w:color w:val="000000"/>
          <w:kern w:val="0"/>
          <w:szCs w:val="21"/>
          <w:rFonts w:ascii="宋体" w:hAnsi="宋体" w:eastAsia="宋体" w:cs="宋体" w:hint="eastAsia"/>
        </w:rPr>
        <w:t>。</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4.</w:t>
      </w:r>
      <w:r>
        <w:rPr>
          <w:color w:val="000000"/>
          <w:kern w:val="0"/>
          <w:szCs w:val="21"/>
          <w:rFonts w:ascii="宋体" w:hAnsi="宋体" w:eastAsia="宋体" w:cs="宋体" w:hint="eastAsia"/>
        </w:rPr>
        <w:t>教学方法：讲授、讨论、实例操作、案例分析。</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5.</w:t>
      </w:r>
      <w:r>
        <w:rPr>
          <w:color w:val="000000"/>
          <w:kern w:val="0"/>
          <w:szCs w:val="21"/>
          <w:rFonts w:ascii="宋体" w:hAnsi="宋体" w:eastAsia="宋体" w:cs="TimesNewRomanPSMT" w:hint="eastAsia"/>
        </w:rPr>
        <w:t>教学评价：针对“企业预算管理的系统论、预算管理中的博弈论、预算管理中的信息论”等论题</w:t>
      </w:r>
      <w:r>
        <w:rPr>
          <w:color w:val="000000"/>
          <w:kern w:val="0"/>
          <w:szCs w:val="21"/>
          <w:rFonts w:ascii="宋体" w:hAnsi="宋体" w:eastAsia="宋体" w:cs="TimesNewRomanPSMT"/>
        </w:rPr>
        <w:t xml:space="preserve"> 完成一篇课程论文</w:t>
      </w:r>
      <w:r>
        <w:rPr>
          <w:color w:val="000000"/>
          <w:kern w:val="0"/>
          <w:szCs w:val="21"/>
          <w:rFonts w:ascii="宋体" w:hAnsi="宋体" w:eastAsia="宋体" w:cs="TimesNewRomanPSMT" w:hint="eastAsia"/>
        </w:rPr>
        <w:t>。</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p>
    <w:p>
      <w:pPr>
        <w:jc w:val="left"/>
        <w:widowControl/>
        <w:spacing w:after="156" w:afterLines="50" w:before="156" w:beforeLines="50" w:lineRule="auto"/>
        <w:ind w:firstLine="482" w:firstLineChars="200"/>
        <w:rPr>
          <w:b w:val="1"/>
          <w:sz w:val="24"/>
          <w:lang w:val="en-US" w:eastAsia="zh-CN"/>
          <w:szCs w:val="24"/>
          <w:rFonts w:ascii="黑体" w:hAnsi="黑体" w:eastAsia="黑体" w:cs="Times New Roman" w:hint="default"/>
        </w:rPr>
      </w:pPr>
      <w:r>
        <w:rPr>
          <w:b w:val="1"/>
          <w:sz w:val="24"/>
          <w:szCs w:val="24"/>
          <w:rFonts w:ascii="黑体" w:hAnsi="黑体" w:eastAsia="黑体" w:cs="Times New Roman" w:hint="eastAsia"/>
        </w:rPr>
        <w:t>第三章</w:t>
      </w:r>
      <w:r>
        <w:rPr>
          <w:b w:val="1"/>
          <w:sz w:val="24"/>
          <w:szCs w:val="24"/>
          <w:rFonts w:ascii="黑体" w:hAnsi="黑体" w:eastAsia="黑体" w:cs="Times New Roman"/>
        </w:rPr>
        <w:t xml:space="preserve">  </w:t>
      </w:r>
      <w:r>
        <w:rPr>
          <w:b w:val="1"/>
          <w:sz w:val="24"/>
          <w:lang w:val="en-US" w:eastAsia="zh-CN"/>
          <w:szCs w:val="24"/>
          <w:rFonts w:ascii="黑体" w:hAnsi="黑体" w:eastAsia="黑体" w:cs="Times New Roman" w:hint="eastAsia"/>
        </w:rPr>
        <w:t>筹资管理案例</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1.</w:t>
      </w:r>
      <w:r>
        <w:rPr>
          <w:color w:val="000000"/>
          <w:kern w:val="0"/>
          <w:szCs w:val="21"/>
          <w:rFonts w:ascii="宋体" w:hAnsi="宋体" w:eastAsia="宋体" w:cs="宋体" w:hint="eastAsia"/>
        </w:rPr>
        <w:t>教学目标：（</w:t>
      </w:r>
      <w:r>
        <w:rPr>
          <w:color w:val="000000"/>
          <w:kern w:val="0"/>
          <w:szCs w:val="21"/>
          <w:rFonts w:ascii="宋体" w:hAnsi="宋体" w:eastAsia="宋体" w:cs="宋体"/>
        </w:rPr>
        <w:t>1</w:t>
      </w:r>
      <w:r>
        <w:rPr>
          <w:color w:val="000000"/>
          <w:kern w:val="0"/>
          <w:szCs w:val="21"/>
          <w:rFonts w:ascii="宋体" w:hAnsi="宋体" w:eastAsia="宋体" w:cs="宋体" w:hint="eastAsia"/>
        </w:rPr>
        <w:t>）了解</w:t>
      </w:r>
      <w:r>
        <w:rPr>
          <w:color w:val="000000"/>
          <w:lang w:val="en-US" w:eastAsia="zh-CN"/>
          <w:kern w:val="0"/>
          <w:szCs w:val="21"/>
          <w:rFonts w:ascii="宋体" w:hAnsi="宋体" w:eastAsia="宋体" w:cs="宋体" w:hint="eastAsia"/>
        </w:rPr>
        <w:t>企业配股筹资案例</w:t>
      </w:r>
      <w:r>
        <w:rPr>
          <w:color w:val="000000"/>
          <w:kern w:val="0"/>
          <w:szCs w:val="21"/>
          <w:rFonts w:ascii="宋体" w:hAnsi="宋体" w:eastAsia="宋体" w:cs="宋体" w:hint="eastAsia"/>
        </w:rPr>
        <w:t>；（2）了解企业</w:t>
      </w:r>
      <w:r>
        <w:rPr>
          <w:color w:val="000000"/>
          <w:lang w:val="en-US" w:eastAsia="zh-CN"/>
          <w:kern w:val="0"/>
          <w:szCs w:val="21"/>
          <w:rFonts w:ascii="宋体" w:hAnsi="宋体" w:eastAsia="宋体" w:cs="宋体" w:hint="eastAsia"/>
        </w:rPr>
        <w:t>发行可转换债券的资格和条件</w:t>
      </w:r>
      <w:r>
        <w:rPr>
          <w:color w:val="000000"/>
          <w:kern w:val="0"/>
          <w:szCs w:val="21"/>
          <w:rFonts w:ascii="宋体" w:hAnsi="宋体" w:eastAsia="宋体" w:cs="宋体" w:hint="eastAsia"/>
        </w:rPr>
        <w:t>；（3）掌握</w:t>
      </w:r>
      <w:r>
        <w:rPr>
          <w:color w:val="000000"/>
          <w:lang w:val="en-US" w:eastAsia="zh-CN"/>
          <w:kern w:val="0"/>
          <w:szCs w:val="21"/>
          <w:rFonts w:ascii="宋体" w:hAnsi="宋体" w:eastAsia="宋体" w:cs="宋体" w:hint="eastAsia"/>
        </w:rPr>
        <w:t>可转换债券的发行和转股的案例分析</w:t>
      </w:r>
      <w:r>
        <w:rPr>
          <w:color w:val="000000"/>
          <w:kern w:val="0"/>
          <w:szCs w:val="21"/>
          <w:rFonts w:ascii="宋体" w:hAnsi="宋体" w:eastAsia="宋体" w:cs="宋体" w:hint="eastAsia"/>
        </w:rPr>
        <w:t>。</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2.</w:t>
      </w:r>
      <w:r>
        <w:rPr>
          <w:color w:val="000000"/>
          <w:kern w:val="0"/>
          <w:szCs w:val="21"/>
          <w:rFonts w:ascii="宋体" w:hAnsi="宋体" w:eastAsia="宋体" w:cs="宋体" w:hint="eastAsia"/>
        </w:rPr>
        <w:t>教学重难点：（1）</w:t>
      </w:r>
      <w:r>
        <w:rPr>
          <w:color w:val="000000"/>
          <w:lang w:val="en-US" w:eastAsia="zh-CN"/>
          <w:kern w:val="0"/>
          <w:szCs w:val="21"/>
          <w:rFonts w:ascii="宋体" w:hAnsi="宋体" w:eastAsia="宋体" w:cs="宋体" w:hint="eastAsia"/>
        </w:rPr>
        <w:t>配股筹资案例分析</w:t>
      </w:r>
      <w:r>
        <w:rPr>
          <w:color w:val="000000"/>
          <w:kern w:val="0"/>
          <w:szCs w:val="21"/>
          <w:rFonts w:ascii="宋体" w:hAnsi="宋体" w:eastAsia="宋体" w:cs="宋体" w:hint="eastAsia"/>
        </w:rPr>
        <w:t>；（2）</w:t>
      </w:r>
      <w:r>
        <w:rPr>
          <w:color w:val="000000"/>
          <w:lang w:val="en-US" w:eastAsia="zh-CN"/>
          <w:kern w:val="0"/>
          <w:szCs w:val="21"/>
          <w:rFonts w:ascii="宋体" w:hAnsi="宋体" w:eastAsia="宋体" w:cs="宋体" w:hint="eastAsia"/>
        </w:rPr>
        <w:t>可转换债券的发行和转股的案例分析</w:t>
      </w:r>
      <w:r>
        <w:rPr>
          <w:color w:val="000000"/>
          <w:kern w:val="0"/>
          <w:szCs w:val="21"/>
          <w:rFonts w:ascii="宋体" w:hAnsi="宋体" w:eastAsia="宋体" w:cs="宋体" w:hint="eastAsia"/>
        </w:rPr>
        <w:t>；（3）</w:t>
      </w:r>
      <w:r>
        <w:rPr>
          <w:color w:val="000000"/>
          <w:lang w:val="en-US" w:eastAsia="zh-CN"/>
          <w:kern w:val="0"/>
          <w:szCs w:val="21"/>
          <w:rFonts w:ascii="宋体" w:hAnsi="宋体" w:eastAsia="宋体" w:cs="宋体" w:hint="eastAsia"/>
        </w:rPr>
        <w:t>资本结构的确定</w:t>
      </w:r>
      <w:r>
        <w:rPr>
          <w:color w:val="000000"/>
          <w:kern w:val="0"/>
          <w:szCs w:val="21"/>
          <w:rFonts w:ascii="宋体" w:hAnsi="宋体" w:eastAsia="宋体" w:cs="宋体" w:hint="eastAsia"/>
        </w:rPr>
        <w:t>。</w:t>
      </w:r>
    </w:p>
    <w:p>
      <w:pPr>
        <w:jc w:val="left"/>
        <w:widowControl/>
        <w:spacing w:after="156" w:afterLines="50" w:before="156" w:beforeLines="50" w:lineRule="auto"/>
        <w:ind w:firstLine="420" w:firstLineChars="200"/>
        <w:rPr>
          <w:szCs w:val="21"/>
          <w:rFonts w:ascii="宋体" w:hAnsi="宋体" w:eastAsia="宋体"/>
        </w:rPr>
      </w:pPr>
      <w:r>
        <w:rPr>
          <w:color w:val="000000"/>
          <w:kern w:val="0"/>
          <w:szCs w:val="21"/>
          <w:rFonts w:ascii="宋体" w:hAnsi="宋体" w:eastAsia="宋体" w:cs="TimesNewRomanPSMT"/>
        </w:rPr>
        <w:t>3.</w:t>
      </w:r>
      <w:r>
        <w:rPr>
          <w:color w:val="000000"/>
          <w:kern w:val="0"/>
          <w:szCs w:val="21"/>
          <w:rFonts w:ascii="宋体" w:hAnsi="宋体" w:eastAsia="宋体" w:cs="宋体" w:hint="eastAsia"/>
        </w:rPr>
        <w:t>教学内容：（1）</w:t>
      </w:r>
      <w:r>
        <w:rPr>
          <w:color w:val="000000"/>
          <w:lang w:val="en-US" w:eastAsia="zh-CN"/>
          <w:kern w:val="0"/>
          <w:szCs w:val="21"/>
          <w:rFonts w:ascii="宋体" w:hAnsi="宋体" w:eastAsia="宋体" w:cs="宋体" w:hint="eastAsia"/>
        </w:rPr>
        <w:t>配股筹资后股东财富有何变化</w:t>
      </w:r>
      <w:r>
        <w:rPr>
          <w:color w:val="000000"/>
          <w:kern w:val="0"/>
          <w:szCs w:val="21"/>
          <w:rFonts w:ascii="宋体" w:hAnsi="宋体" w:eastAsia="宋体" w:cs="宋体" w:hint="eastAsia"/>
        </w:rPr>
        <w:t>；（2）</w:t>
      </w:r>
      <w:r>
        <w:rPr>
          <w:color w:val="000000"/>
          <w:lang w:val="en-US" w:eastAsia="zh-CN"/>
          <w:kern w:val="0"/>
          <w:szCs w:val="21"/>
          <w:rFonts w:ascii="宋体" w:hAnsi="宋体" w:eastAsia="宋体" w:cs="宋体" w:hint="eastAsia"/>
        </w:rPr>
        <w:t>可转换债券发行案例分析</w:t>
      </w:r>
      <w:r>
        <w:rPr>
          <w:color w:val="000000"/>
          <w:kern w:val="0"/>
          <w:szCs w:val="21"/>
          <w:rFonts w:ascii="宋体" w:hAnsi="宋体" w:eastAsia="宋体" w:cs="宋体" w:hint="eastAsia"/>
        </w:rPr>
        <w:t>；（3）</w:t>
      </w:r>
      <w:r>
        <w:rPr>
          <w:color w:val="000000"/>
          <w:lang w:val="en-US" w:eastAsia="zh-CN"/>
          <w:kern w:val="0"/>
          <w:szCs w:val="21"/>
          <w:rFonts w:ascii="宋体" w:hAnsi="宋体" w:eastAsia="宋体" w:cs="宋体" w:hint="eastAsia"/>
        </w:rPr>
        <w:t>可转换债券转股案例分析</w:t>
      </w:r>
      <w:r>
        <w:rPr>
          <w:color w:val="000000"/>
          <w:kern w:val="0"/>
          <w:szCs w:val="21"/>
          <w:rFonts w:ascii="宋体" w:hAnsi="宋体" w:eastAsia="宋体" w:cs="宋体" w:hint="eastAsia"/>
        </w:rPr>
        <w:t>；（4）</w:t>
      </w:r>
      <w:r>
        <w:rPr>
          <w:color w:val="000000"/>
          <w:lang w:val="en-US" w:eastAsia="zh-CN"/>
          <w:kern w:val="0"/>
          <w:szCs w:val="21"/>
          <w:rFonts w:ascii="宋体" w:hAnsi="宋体" w:eastAsia="宋体" w:cs="宋体" w:hint="eastAsia"/>
        </w:rPr>
        <w:t>采用企业价值最大化确定最佳资本结构</w:t>
      </w:r>
      <w:r>
        <w:rPr>
          <w:color w:val="000000"/>
          <w:kern w:val="0"/>
          <w:szCs w:val="21"/>
          <w:rFonts w:ascii="宋体" w:hAnsi="宋体" w:eastAsia="宋体" w:cs="宋体" w:hint="eastAsia"/>
        </w:rPr>
        <w:t>。</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4.</w:t>
      </w:r>
      <w:r>
        <w:rPr>
          <w:color w:val="000000"/>
          <w:kern w:val="0"/>
          <w:szCs w:val="21"/>
          <w:rFonts w:ascii="宋体" w:hAnsi="宋体" w:eastAsia="宋体" w:cs="宋体" w:hint="eastAsia"/>
        </w:rPr>
        <w:t>教学方法：讲授、讨论、案例分析。</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5.</w:t>
      </w:r>
      <w:r>
        <w:rPr>
          <w:color w:val="000000"/>
          <w:kern w:val="0"/>
          <w:szCs w:val="21"/>
          <w:rFonts w:ascii="宋体" w:hAnsi="宋体" w:eastAsia="宋体" w:cs="TimesNewRomanPSMT" w:hint="eastAsia"/>
        </w:rPr>
        <w:t>教学评价：针对“</w:t>
      </w:r>
      <w:r>
        <w:rPr>
          <w:color w:val="000000"/>
          <w:lang w:val="en-US" w:eastAsia="zh-CN"/>
          <w:kern w:val="0"/>
          <w:szCs w:val="21"/>
          <w:rFonts w:ascii="宋体" w:hAnsi="宋体" w:eastAsia="宋体" w:cs="TimesNewRomanPSMT" w:hint="eastAsia"/>
        </w:rPr>
        <w:t>企业筹资的要求</w:t>
      </w:r>
      <w:r>
        <w:rPr>
          <w:color w:val="000000"/>
          <w:kern w:val="0"/>
          <w:szCs w:val="21"/>
          <w:rFonts w:ascii="宋体" w:hAnsi="宋体" w:eastAsia="宋体" w:cs="TimesNewRomanPSMT" w:hint="eastAsia"/>
        </w:rPr>
        <w:t>”</w:t>
      </w:r>
      <w:r>
        <w:rPr>
          <w:color w:val="000000"/>
          <w:kern w:val="0"/>
          <w:szCs w:val="21"/>
          <w:rFonts w:ascii="宋体" w:hAnsi="宋体" w:eastAsia="宋体" w:cs="TimesNewRomanPSMT"/>
        </w:rPr>
        <w:t>完成一篇课程论文</w:t>
      </w:r>
      <w:r>
        <w:rPr>
          <w:color w:val="000000"/>
          <w:kern w:val="0"/>
          <w:szCs w:val="21"/>
          <w:rFonts w:ascii="宋体" w:hAnsi="宋体" w:eastAsia="宋体" w:cs="TimesNewRomanPSMT" w:hint="eastAsia"/>
        </w:rPr>
        <w:t>。</w:t>
      </w:r>
    </w:p>
    <w:p>
      <w:pPr>
        <w:jc w:val="left"/>
        <w:widowControl/>
        <w:spacing w:after="156" w:afterLines="50" w:before="156" w:beforeLines="50" w:lineRule="auto"/>
        <w:ind w:firstLine="420" w:firstLineChars="200"/>
        <w:rPr>
          <w:color w:val="000000"/>
          <w:kern w:val="0"/>
          <w:szCs w:val="21"/>
          <w:rFonts w:ascii="宋体" w:hAnsi="宋体" w:eastAsia="宋体" w:cs="TimesNewRomanPSMT" w:hint="eastAsia"/>
        </w:rPr>
      </w:pPr>
    </w:p>
    <w:p>
      <w:pPr>
        <w:jc w:val="left"/>
        <w:widowControl/>
        <w:spacing w:after="156" w:afterLines="50" w:before="156" w:beforeLines="50" w:lineRule="auto"/>
        <w:ind w:firstLine="482" w:firstLineChars="200"/>
        <w:rPr>
          <w:b w:val="1"/>
          <w:sz w:val="24"/>
          <w:lang w:val="en-US" w:eastAsia="zh-CN"/>
          <w:szCs w:val="24"/>
          <w:rFonts w:ascii="黑体" w:hAnsi="黑体" w:eastAsia="黑体" w:cs="Times New Roman" w:hint="default"/>
        </w:rPr>
      </w:pPr>
      <w:r>
        <w:rPr>
          <w:b w:val="1"/>
          <w:sz w:val="24"/>
          <w:szCs w:val="24"/>
          <w:rFonts w:ascii="黑体" w:hAnsi="黑体" w:eastAsia="黑体" w:cs="Times New Roman" w:hint="eastAsia"/>
        </w:rPr>
        <w:t>第四章</w:t>
      </w:r>
      <w:r>
        <w:rPr>
          <w:b w:val="1"/>
          <w:sz w:val="24"/>
          <w:szCs w:val="24"/>
          <w:rFonts w:ascii="黑体" w:hAnsi="黑体" w:eastAsia="黑体" w:cs="Times New Roman"/>
        </w:rPr>
        <w:t xml:space="preserve">  </w:t>
      </w:r>
      <w:r>
        <w:rPr>
          <w:b w:val="1"/>
          <w:sz w:val="24"/>
          <w:lang w:val="en-US" w:eastAsia="zh-CN"/>
          <w:szCs w:val="24"/>
          <w:rFonts w:ascii="黑体" w:hAnsi="黑体" w:eastAsia="黑体" w:cs="Times New Roman" w:hint="eastAsia"/>
        </w:rPr>
        <w:t>投资管理案例</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1.</w:t>
      </w:r>
      <w:r>
        <w:rPr>
          <w:color w:val="000000"/>
          <w:kern w:val="0"/>
          <w:szCs w:val="21"/>
          <w:rFonts w:ascii="宋体" w:hAnsi="宋体" w:eastAsia="宋体" w:cs="宋体" w:hint="eastAsia"/>
        </w:rPr>
        <w:t>教学目标：（</w:t>
      </w:r>
      <w:r>
        <w:rPr>
          <w:color w:val="000000"/>
          <w:kern w:val="0"/>
          <w:szCs w:val="21"/>
          <w:rFonts w:ascii="宋体" w:hAnsi="宋体" w:eastAsia="宋体" w:cs="宋体"/>
        </w:rPr>
        <w:t>1</w:t>
      </w:r>
      <w:r>
        <w:rPr>
          <w:color w:val="000000"/>
          <w:kern w:val="0"/>
          <w:szCs w:val="21"/>
          <w:rFonts w:ascii="宋体" w:hAnsi="宋体" w:eastAsia="宋体" w:cs="宋体" w:hint="eastAsia"/>
        </w:rPr>
        <w:t>）理解企业</w:t>
      </w:r>
      <w:r>
        <w:rPr>
          <w:color w:val="000000"/>
          <w:lang w:val="en-US" w:eastAsia="zh-CN"/>
          <w:kern w:val="0"/>
          <w:szCs w:val="21"/>
          <w:rFonts w:ascii="宋体" w:hAnsi="宋体" w:eastAsia="宋体" w:cs="宋体" w:hint="eastAsia"/>
        </w:rPr>
        <w:t>投资管理案例</w:t>
      </w:r>
      <w:r>
        <w:rPr>
          <w:color w:val="000000"/>
          <w:kern w:val="0"/>
          <w:szCs w:val="21"/>
          <w:rFonts w:ascii="宋体" w:hAnsi="宋体" w:eastAsia="宋体" w:cs="宋体" w:hint="eastAsia"/>
        </w:rPr>
        <w:t>；（</w:t>
      </w:r>
      <w:r>
        <w:rPr>
          <w:color w:val="000000"/>
          <w:kern w:val="0"/>
          <w:szCs w:val="21"/>
          <w:rFonts w:ascii="宋体" w:hAnsi="宋体" w:eastAsia="宋体" w:cs="宋体"/>
        </w:rPr>
        <w:t>2</w:t>
      </w:r>
      <w:r>
        <w:rPr>
          <w:color w:val="000000"/>
          <w:kern w:val="0"/>
          <w:szCs w:val="21"/>
          <w:rFonts w:ascii="宋体" w:hAnsi="宋体" w:eastAsia="宋体" w:cs="宋体" w:hint="eastAsia"/>
        </w:rPr>
        <w:t>）熟悉各种</w:t>
      </w:r>
      <w:r>
        <w:rPr>
          <w:color w:val="000000"/>
          <w:lang w:val="en-US" w:eastAsia="zh-CN"/>
          <w:kern w:val="0"/>
          <w:szCs w:val="21"/>
          <w:rFonts w:ascii="宋体" w:hAnsi="宋体" w:eastAsia="宋体" w:cs="宋体" w:hint="eastAsia"/>
        </w:rPr>
        <w:t>投资决策方法</w:t>
      </w:r>
      <w:r>
        <w:rPr>
          <w:color w:val="000000"/>
          <w:kern w:val="0"/>
          <w:szCs w:val="21"/>
          <w:rFonts w:ascii="宋体" w:hAnsi="宋体" w:eastAsia="宋体" w:cs="宋体" w:hint="eastAsia"/>
        </w:rPr>
        <w:t>；（</w:t>
      </w:r>
      <w:r>
        <w:rPr>
          <w:color w:val="000000"/>
          <w:kern w:val="0"/>
          <w:szCs w:val="21"/>
          <w:rFonts w:ascii="宋体" w:hAnsi="宋体" w:eastAsia="宋体" w:cs="宋体"/>
        </w:rPr>
        <w:t>3</w:t>
      </w:r>
      <w:r>
        <w:rPr>
          <w:color w:val="000000"/>
          <w:kern w:val="0"/>
          <w:szCs w:val="21"/>
          <w:rFonts w:ascii="宋体" w:hAnsi="宋体" w:eastAsia="宋体" w:cs="宋体" w:hint="eastAsia"/>
        </w:rPr>
        <w:t>）学习财务战略的制定。</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2.</w:t>
      </w:r>
      <w:r>
        <w:rPr>
          <w:color w:val="000000"/>
          <w:kern w:val="0"/>
          <w:szCs w:val="21"/>
          <w:rFonts w:ascii="宋体" w:hAnsi="宋体" w:eastAsia="宋体" w:cs="宋体" w:hint="eastAsia"/>
        </w:rPr>
        <w:t>教学重难点：（1）</w:t>
      </w:r>
      <w:r>
        <w:rPr>
          <w:color w:val="000000"/>
          <w:lang w:val="en-US" w:eastAsia="zh-CN"/>
          <w:kern w:val="0"/>
          <w:szCs w:val="21"/>
          <w:rFonts w:ascii="宋体" w:hAnsi="宋体" w:eastAsia="宋体" w:cs="宋体" w:hint="eastAsia"/>
        </w:rPr>
        <w:t>通货膨胀条件下项目投资决策案例分析</w:t>
      </w:r>
      <w:r>
        <w:rPr>
          <w:color w:val="000000"/>
          <w:kern w:val="0"/>
          <w:szCs w:val="21"/>
          <w:rFonts w:ascii="宋体" w:hAnsi="宋体" w:eastAsia="宋体" w:cs="宋体" w:hint="eastAsia"/>
        </w:rPr>
        <w:t>；（2）</w:t>
      </w:r>
      <w:r>
        <w:rPr>
          <w:color w:val="000000"/>
          <w:lang w:val="en-US" w:eastAsia="zh-CN"/>
          <w:kern w:val="0"/>
          <w:szCs w:val="21"/>
          <w:rFonts w:ascii="宋体" w:hAnsi="宋体" w:eastAsia="宋体" w:cs="宋体" w:hint="eastAsia"/>
        </w:rPr>
        <w:t>在产品资金的确定</w:t>
      </w:r>
      <w:r>
        <w:rPr>
          <w:color w:val="000000"/>
          <w:kern w:val="0"/>
          <w:szCs w:val="21"/>
          <w:rFonts w:ascii="宋体" w:hAnsi="宋体" w:eastAsia="宋体" w:cs="宋体" w:hint="eastAsia"/>
        </w:rPr>
        <w:t>；</w:t>
      </w:r>
    </w:p>
    <w:p>
      <w:pPr>
        <w:jc w:val="left"/>
        <w:widowControl/>
        <w:spacing w:after="156" w:afterLines="50" w:before="156" w:beforeLines="50" w:lineRule="auto"/>
        <w:ind w:firstLine="420" w:firstLineChars="200"/>
        <w:rPr>
          <w:szCs w:val="21"/>
          <w:rFonts w:ascii="宋体" w:hAnsi="宋体" w:eastAsia="宋体"/>
        </w:rPr>
      </w:pPr>
      <w:r>
        <w:rPr>
          <w:color w:val="000000"/>
          <w:kern w:val="0"/>
          <w:szCs w:val="21"/>
          <w:rFonts w:ascii="宋体" w:hAnsi="宋体" w:eastAsia="宋体" w:cs="TimesNewRomanPSMT"/>
        </w:rPr>
        <w:t>3.</w:t>
      </w:r>
      <w:r>
        <w:rPr>
          <w:color w:val="000000"/>
          <w:kern w:val="0"/>
          <w:szCs w:val="21"/>
          <w:rFonts w:ascii="宋体" w:hAnsi="宋体" w:eastAsia="宋体" w:cs="宋体" w:hint="eastAsia"/>
        </w:rPr>
        <w:t>教学内容：（1）</w:t>
      </w:r>
      <w:r>
        <w:rPr>
          <w:color w:val="000000"/>
          <w:lang w:val="en-US" w:eastAsia="zh-CN"/>
          <w:kern w:val="0"/>
          <w:szCs w:val="21"/>
          <w:rFonts w:ascii="宋体" w:hAnsi="宋体" w:eastAsia="宋体" w:cs="宋体" w:hint="eastAsia"/>
        </w:rPr>
        <w:t>项目投资决策理论</w:t>
      </w:r>
      <w:r>
        <w:rPr>
          <w:color w:val="000000"/>
          <w:kern w:val="0"/>
          <w:szCs w:val="21"/>
          <w:rFonts w:ascii="宋体" w:hAnsi="宋体" w:eastAsia="宋体" w:cs="宋体" w:hint="eastAsia"/>
        </w:rPr>
        <w:t>；（2）</w:t>
      </w:r>
      <w:r>
        <w:rPr>
          <w:color w:val="000000"/>
          <w:lang w:val="en-US" w:eastAsia="zh-CN"/>
          <w:kern w:val="0"/>
          <w:szCs w:val="21"/>
          <w:rFonts w:ascii="宋体" w:hAnsi="宋体" w:eastAsia="宋体" w:cs="宋体" w:hint="eastAsia"/>
        </w:rPr>
        <w:t>通货膨胀条件下项目投资决策案例分析</w:t>
      </w:r>
      <w:r>
        <w:rPr>
          <w:color w:val="000000"/>
          <w:kern w:val="0"/>
          <w:szCs w:val="21"/>
          <w:rFonts w:ascii="宋体" w:hAnsi="宋体" w:eastAsia="宋体" w:cs="宋体" w:hint="eastAsia"/>
        </w:rPr>
        <w:t>；（3）</w:t>
      </w:r>
      <w:r>
        <w:rPr>
          <w:color w:val="000000"/>
          <w:lang w:eastAsia="zh-CN"/>
          <w:kern w:val="0"/>
          <w:szCs w:val="21"/>
          <w:rFonts w:ascii="宋体" w:hAnsi="宋体" w:eastAsia="宋体" w:cs="宋体" w:hint="eastAsia"/>
        </w:rPr>
        <w:t>在</w:t>
      </w:r>
      <w:r>
        <w:rPr>
          <w:color w:val="000000"/>
          <w:lang w:val="en-US" w:eastAsia="zh-CN"/>
          <w:kern w:val="0"/>
          <w:szCs w:val="21"/>
          <w:rFonts w:ascii="宋体" w:hAnsi="宋体" w:eastAsia="宋体" w:cs="宋体" w:hint="eastAsia"/>
        </w:rPr>
        <w:t>产品资金确定案例分析</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4.</w:t>
      </w:r>
      <w:r>
        <w:rPr>
          <w:color w:val="000000"/>
          <w:kern w:val="0"/>
          <w:szCs w:val="21"/>
          <w:rFonts w:ascii="宋体" w:hAnsi="宋体" w:eastAsia="宋体" w:cs="宋体" w:hint="eastAsia"/>
        </w:rPr>
        <w:t>教学方法：讲授、讨论、案例分析。</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5.</w:t>
      </w:r>
      <w:r>
        <w:rPr>
          <w:color w:val="000000"/>
          <w:kern w:val="0"/>
          <w:szCs w:val="21"/>
          <w:rFonts w:ascii="宋体" w:hAnsi="宋体" w:eastAsia="宋体" w:cs="TimesNewRomanPSMT" w:hint="eastAsia"/>
        </w:rPr>
        <w:t>教学评价：讨论、完善和修改案例研究报告。</w:t>
      </w:r>
    </w:p>
    <w:p>
      <w:pPr>
        <w:jc w:val="left"/>
        <w:widowControl/>
        <w:spacing w:after="156" w:afterLines="50" w:before="156" w:beforeLines="50" w:lineRule="auto"/>
        <w:ind w:firstLine="420" w:firstLineChars="200"/>
        <w:rPr>
          <w:color w:val="000000"/>
          <w:kern w:val="0"/>
          <w:szCs w:val="21"/>
          <w:rFonts w:ascii="宋体" w:hAnsi="宋体" w:eastAsia="宋体" w:cs="TimesNewRomanPSMT" w:hint="eastAsia"/>
        </w:rPr>
      </w:pPr>
    </w:p>
    <w:p>
      <w:pPr>
        <w:jc w:val="left"/>
        <w:widowControl/>
        <w:spacing w:after="156" w:afterLines="50" w:before="156" w:beforeLines="50" w:lineRule="auto"/>
        <w:ind w:firstLine="482" w:firstLineChars="200"/>
        <w:rPr>
          <w:b w:val="1"/>
          <w:sz w:val="24"/>
          <w:lang w:val="en-US" w:eastAsia="zh-CN"/>
          <w:szCs w:val="24"/>
          <w:rFonts w:ascii="黑体" w:hAnsi="黑体" w:eastAsia="黑体" w:cs="Times New Roman" w:hint="default"/>
        </w:rPr>
      </w:pPr>
      <w:r>
        <w:rPr>
          <w:b w:val="1"/>
          <w:sz w:val="24"/>
          <w:szCs w:val="24"/>
          <w:rFonts w:ascii="黑体" w:hAnsi="黑体" w:eastAsia="黑体" w:cs="Times New Roman" w:hint="eastAsia"/>
        </w:rPr>
        <w:t>第五章</w:t>
      </w:r>
      <w:r>
        <w:rPr>
          <w:b w:val="1"/>
          <w:sz w:val="24"/>
          <w:szCs w:val="24"/>
          <w:rFonts w:ascii="黑体" w:hAnsi="黑体" w:eastAsia="黑体" w:cs="Times New Roman"/>
        </w:rPr>
        <w:t xml:space="preserve">  </w:t>
      </w:r>
      <w:r>
        <w:rPr>
          <w:b w:val="1"/>
          <w:sz w:val="24"/>
          <w:lang w:val="en-US" w:eastAsia="zh-CN"/>
          <w:szCs w:val="24"/>
          <w:rFonts w:ascii="黑体" w:hAnsi="黑体" w:eastAsia="黑体" w:cs="Times New Roman" w:hint="eastAsia"/>
        </w:rPr>
        <w:t>股利决策案例</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1.</w:t>
      </w:r>
      <w:r>
        <w:rPr>
          <w:color w:val="000000"/>
          <w:kern w:val="0"/>
          <w:szCs w:val="21"/>
          <w:rFonts w:ascii="宋体" w:hAnsi="宋体" w:eastAsia="宋体" w:cs="宋体" w:hint="eastAsia"/>
        </w:rPr>
        <w:t>教学目标：</w:t>
      </w:r>
      <w:r>
        <w:rPr>
          <w:color w:val="000000"/>
          <w:kern w:val="0"/>
          <w:szCs w:val="21"/>
          <w:rFonts w:ascii="宋体" w:hAnsi="宋体" w:eastAsia="宋体" w:cs="TimesNewRomanPSMT" w:hint="eastAsia"/>
        </w:rPr>
        <w:t>（</w:t>
      </w:r>
      <w:r>
        <w:rPr>
          <w:color w:val="000000"/>
          <w:kern w:val="0"/>
          <w:szCs w:val="21"/>
          <w:rFonts w:ascii="宋体" w:hAnsi="宋体" w:eastAsia="宋体" w:cs="TimesNewRomanPSMT"/>
        </w:rPr>
        <w:t>1</w:t>
      </w:r>
      <w:r>
        <w:rPr>
          <w:color w:val="000000"/>
          <w:kern w:val="0"/>
          <w:szCs w:val="21"/>
          <w:rFonts w:ascii="宋体" w:hAnsi="宋体" w:eastAsia="宋体" w:cs="TimesNewRomanPSMT" w:hint="eastAsia"/>
        </w:rPr>
        <w:t>）理解</w:t>
      </w:r>
      <w:r>
        <w:rPr>
          <w:color w:val="000000"/>
          <w:lang w:val="en-US" w:eastAsia="zh-CN"/>
          <w:kern w:val="0"/>
          <w:szCs w:val="21"/>
          <w:rFonts w:ascii="宋体" w:hAnsi="宋体" w:eastAsia="宋体" w:cs="TimesNewRomanPSMT" w:hint="eastAsia"/>
        </w:rPr>
        <w:t>股利决策理论</w:t>
      </w:r>
      <w:r>
        <w:rPr>
          <w:color w:val="000000"/>
          <w:kern w:val="0"/>
          <w:szCs w:val="21"/>
          <w:rFonts w:ascii="宋体" w:hAnsi="宋体" w:eastAsia="宋体" w:cs="TimesNewRomanPSMT" w:hint="eastAsia"/>
        </w:rPr>
        <w:t>；（</w:t>
      </w:r>
      <w:r>
        <w:rPr>
          <w:color w:val="000000"/>
          <w:kern w:val="0"/>
          <w:szCs w:val="21"/>
          <w:rFonts w:ascii="宋体" w:hAnsi="宋体" w:eastAsia="宋体" w:cs="TimesNewRomanPSMT"/>
        </w:rPr>
        <w:t>2</w:t>
      </w:r>
      <w:r>
        <w:rPr>
          <w:color w:val="000000"/>
          <w:kern w:val="0"/>
          <w:szCs w:val="21"/>
          <w:rFonts w:ascii="宋体" w:hAnsi="宋体" w:eastAsia="宋体" w:cs="TimesNewRomanPSMT" w:hint="eastAsia"/>
        </w:rPr>
        <w:t>）学会</w:t>
      </w:r>
      <w:r>
        <w:rPr>
          <w:color w:val="000000"/>
          <w:lang w:val="en-US" w:eastAsia="zh-CN"/>
          <w:kern w:val="0"/>
          <w:szCs w:val="21"/>
          <w:rFonts w:ascii="宋体" w:hAnsi="宋体" w:eastAsia="宋体" w:cs="TimesNewRomanPSMT" w:hint="eastAsia"/>
        </w:rPr>
        <w:t>股利政策的制定</w:t>
      </w:r>
      <w:r>
        <w:rPr>
          <w:color w:val="000000"/>
          <w:kern w:val="0"/>
          <w:szCs w:val="21"/>
          <w:rFonts w:ascii="宋体" w:hAnsi="宋体" w:eastAsia="宋体" w:cs="TimesNewRomanPSMT" w:hint="eastAsia"/>
        </w:rPr>
        <w:t>；（</w:t>
      </w:r>
      <w:r>
        <w:rPr>
          <w:color w:val="000000"/>
          <w:kern w:val="0"/>
          <w:szCs w:val="21"/>
          <w:rFonts w:ascii="宋体" w:hAnsi="宋体" w:eastAsia="宋体" w:cs="TimesNewRomanPSMT"/>
        </w:rPr>
        <w:t>3</w:t>
      </w:r>
      <w:r>
        <w:rPr>
          <w:color w:val="000000"/>
          <w:kern w:val="0"/>
          <w:szCs w:val="21"/>
          <w:rFonts w:ascii="宋体" w:hAnsi="宋体" w:eastAsia="宋体" w:cs="TimesNewRomanPSMT" w:hint="eastAsia"/>
        </w:rPr>
        <w:t>）学会</w:t>
      </w:r>
      <w:r>
        <w:rPr>
          <w:color w:val="000000"/>
          <w:lang w:val="en-US" w:eastAsia="zh-CN"/>
          <w:kern w:val="0"/>
          <w:szCs w:val="21"/>
          <w:rFonts w:ascii="宋体" w:hAnsi="宋体" w:eastAsia="宋体" w:cs="TimesNewRomanPSMT" w:hint="eastAsia"/>
        </w:rPr>
        <w:t>股票股利和股票分割的案例分析</w:t>
      </w:r>
    </w:p>
    <w:p>
      <w:pPr>
        <w:jc w:val="left"/>
        <w:widowControl/>
        <w:spacing w:after="156" w:afterLines="50" w:before="156" w:beforeLines="50" w:lineRule="auto"/>
        <w:ind w:firstLine="420" w:firstLineChars="200"/>
        <w:rPr>
          <w:color w:val="000000"/>
          <w:lang w:val="en-US"/>
          <w:kern w:val="0"/>
          <w:szCs w:val="21"/>
          <w:rFonts w:ascii="宋体" w:hAnsi="宋体" w:eastAsia="宋体" w:cs="宋体" w:hint="default"/>
        </w:rPr>
      </w:pPr>
      <w:r>
        <w:rPr>
          <w:color w:val="000000"/>
          <w:kern w:val="0"/>
          <w:szCs w:val="21"/>
          <w:rFonts w:ascii="宋体" w:hAnsi="宋体" w:eastAsia="宋体" w:cs="TimesNewRomanPSMT"/>
        </w:rPr>
        <w:t>2.</w:t>
      </w:r>
      <w:r>
        <w:rPr>
          <w:color w:val="000000"/>
          <w:kern w:val="0"/>
          <w:szCs w:val="21"/>
          <w:rFonts w:ascii="宋体" w:hAnsi="宋体" w:eastAsia="宋体" w:cs="宋体" w:hint="eastAsia"/>
        </w:rPr>
        <w:t>教学重难点：（1）</w:t>
      </w:r>
      <w:r>
        <w:rPr>
          <w:color w:val="000000"/>
          <w:lang w:val="en-US" w:eastAsia="zh-CN"/>
          <w:kern w:val="0"/>
          <w:szCs w:val="21"/>
          <w:rFonts w:ascii="宋体" w:hAnsi="宋体" w:eastAsia="宋体" w:cs="宋体" w:hint="eastAsia"/>
        </w:rPr>
        <w:t>股利政策的制定</w:t>
      </w:r>
      <w:r>
        <w:rPr>
          <w:color w:val="000000"/>
          <w:kern w:val="0"/>
          <w:szCs w:val="21"/>
          <w:rFonts w:ascii="宋体" w:hAnsi="宋体" w:eastAsia="宋体" w:cs="宋体" w:hint="eastAsia"/>
        </w:rPr>
        <w:t>；（2）</w:t>
      </w:r>
      <w:r>
        <w:rPr>
          <w:color w:val="000000"/>
          <w:lang w:val="en-US" w:eastAsia="zh-CN"/>
          <w:kern w:val="0"/>
          <w:szCs w:val="21"/>
          <w:rFonts w:ascii="宋体" w:hAnsi="宋体" w:eastAsia="宋体" w:cs="宋体" w:hint="eastAsia"/>
        </w:rPr>
        <w:t>股票股利对所有者权益的影响</w:t>
      </w:r>
    </w:p>
    <w:p>
      <w:pPr>
        <w:jc w:val="left"/>
        <w:widowControl/>
        <w:spacing w:after="156" w:afterLines="50" w:before="156" w:beforeLines="50" w:lineRule="auto"/>
        <w:ind w:firstLine="420" w:firstLineChars="200"/>
        <w:rPr>
          <w:szCs w:val="21"/>
          <w:rFonts w:ascii="宋体" w:hAnsi="宋体" w:eastAsia="宋体"/>
        </w:rPr>
      </w:pPr>
      <w:r>
        <w:rPr>
          <w:color w:val="000000"/>
          <w:kern w:val="0"/>
          <w:szCs w:val="21"/>
          <w:rFonts w:ascii="宋体" w:hAnsi="宋体" w:eastAsia="宋体" w:cs="TimesNewRomanPSMT"/>
        </w:rPr>
        <w:t>3.</w:t>
      </w:r>
      <w:r>
        <w:rPr>
          <w:color w:val="000000"/>
          <w:kern w:val="0"/>
          <w:szCs w:val="21"/>
          <w:rFonts w:ascii="宋体" w:hAnsi="宋体" w:eastAsia="宋体" w:cs="宋体" w:hint="eastAsia"/>
        </w:rPr>
        <w:t>教学内容：（1）</w:t>
      </w:r>
      <w:r>
        <w:rPr>
          <w:color w:val="000000"/>
          <w:lang w:val="en-US" w:eastAsia="zh-CN"/>
          <w:kern w:val="0"/>
          <w:szCs w:val="21"/>
          <w:rFonts w:ascii="宋体" w:hAnsi="宋体" w:eastAsia="宋体" w:cs="宋体" w:hint="eastAsia"/>
        </w:rPr>
        <w:t>股利相关论和股利无关论</w:t>
      </w:r>
      <w:r>
        <w:rPr>
          <w:color w:val="000000"/>
          <w:kern w:val="0"/>
          <w:szCs w:val="21"/>
          <w:rFonts w:ascii="宋体" w:hAnsi="宋体" w:eastAsia="宋体" w:cs="宋体" w:hint="eastAsia"/>
        </w:rPr>
        <w:t>；（2）</w:t>
      </w:r>
      <w:r>
        <w:rPr>
          <w:color w:val="000000"/>
          <w:lang w:val="en-US" w:eastAsia="zh-CN"/>
          <w:kern w:val="0"/>
          <w:szCs w:val="21"/>
          <w:rFonts w:ascii="宋体" w:hAnsi="宋体" w:eastAsia="宋体" w:cs="宋体" w:hint="eastAsia"/>
        </w:rPr>
        <w:t>股利政策的确定</w:t>
      </w:r>
      <w:r>
        <w:rPr>
          <w:color w:val="000000"/>
          <w:kern w:val="0"/>
          <w:szCs w:val="21"/>
          <w:rFonts w:ascii="宋体" w:hAnsi="宋体" w:eastAsia="宋体" w:cs="宋体" w:hint="eastAsia"/>
        </w:rPr>
        <w:t>；（3）</w:t>
      </w:r>
      <w:r>
        <w:rPr>
          <w:color w:val="000000"/>
          <w:lang w:val="en-US" w:eastAsia="zh-CN"/>
          <w:kern w:val="0"/>
          <w:szCs w:val="21"/>
          <w:rFonts w:ascii="宋体" w:hAnsi="宋体" w:eastAsia="宋体" w:cs="宋体" w:hint="eastAsia"/>
        </w:rPr>
        <w:t>股票股利与股票分割的案例分析</w:t>
      </w:r>
      <w:r>
        <w:rPr>
          <w:color w:val="000000"/>
          <w:kern w:val="0"/>
          <w:szCs w:val="21"/>
          <w:rFonts w:ascii="宋体" w:hAnsi="宋体" w:eastAsia="宋体" w:cs="宋体" w:hint="eastAsia"/>
        </w:rPr>
        <w:t>；（4）</w:t>
      </w:r>
      <w:r>
        <w:rPr>
          <w:color w:val="000000"/>
          <w:lang w:val="en-US" w:eastAsia="zh-CN"/>
          <w:kern w:val="0"/>
          <w:szCs w:val="21"/>
          <w:rFonts w:ascii="宋体" w:hAnsi="宋体" w:eastAsia="宋体" w:cs="宋体" w:hint="eastAsia"/>
        </w:rPr>
        <w:t>股票股利与配股的案例分析</w:t>
      </w:r>
      <w:r>
        <w:rPr>
          <w:color w:val="000000"/>
          <w:kern w:val="0"/>
          <w:szCs w:val="21"/>
          <w:rFonts w:ascii="宋体" w:hAnsi="宋体" w:eastAsia="宋体" w:cs="宋体" w:hint="eastAsia"/>
        </w:rPr>
        <w:t>（5）</w:t>
      </w:r>
      <w:r>
        <w:rPr>
          <w:color w:val="000000"/>
          <w:lang w:val="en-US" w:eastAsia="zh-CN"/>
          <w:kern w:val="0"/>
          <w:szCs w:val="21"/>
          <w:rFonts w:ascii="宋体" w:hAnsi="宋体" w:eastAsia="宋体" w:cs="宋体" w:hint="eastAsia"/>
        </w:rPr>
        <w:t>股利支付方式案例分析</w:t>
      </w:r>
      <w:r>
        <w:rPr>
          <w:color w:val="000000"/>
          <w:kern w:val="0"/>
          <w:szCs w:val="21"/>
          <w:rFonts w:ascii="宋体" w:hAnsi="宋体" w:eastAsia="宋体" w:cs="宋体" w:hint="eastAsia"/>
        </w:rPr>
        <w:t>。</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4.</w:t>
      </w:r>
      <w:r>
        <w:rPr>
          <w:color w:val="000000"/>
          <w:kern w:val="0"/>
          <w:szCs w:val="21"/>
          <w:rFonts w:ascii="宋体" w:hAnsi="宋体" w:eastAsia="宋体" w:cs="宋体" w:hint="eastAsia"/>
        </w:rPr>
        <w:t>教学方法：讲授、讨论、实例操作、案例分析。</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5.</w:t>
      </w:r>
      <w:r>
        <w:rPr>
          <w:color w:val="000000"/>
          <w:kern w:val="0"/>
          <w:szCs w:val="21"/>
          <w:rFonts w:ascii="宋体" w:hAnsi="宋体" w:eastAsia="宋体" w:cs="TimesNewRomanPSMT" w:hint="eastAsia"/>
        </w:rPr>
        <w:t>教学评价：</w:t>
      </w:r>
      <w:r>
        <w:rPr>
          <w:color w:val="000000"/>
          <w:lang w:val="en-US" w:eastAsia="zh-CN"/>
          <w:kern w:val="0"/>
          <w:szCs w:val="21"/>
          <w:rFonts w:ascii="宋体" w:hAnsi="宋体" w:eastAsia="宋体" w:cs="TimesNewRomanPSMT" w:hint="eastAsia"/>
        </w:rPr>
        <w:t>讨论、完善案例分析报告</w:t>
      </w:r>
      <w:r>
        <w:rPr>
          <w:color w:val="000000"/>
          <w:kern w:val="0"/>
          <w:szCs w:val="21"/>
          <w:rFonts w:ascii="宋体" w:hAnsi="宋体" w:eastAsia="宋体" w:cs="TimesNewRomanPSMT" w:hint="eastAsia"/>
        </w:rPr>
        <w:t>。</w:t>
      </w:r>
    </w:p>
    <w:p>
      <w:pPr>
        <w:jc w:val="left"/>
        <w:widowControl/>
        <w:spacing w:after="156" w:afterLines="50" w:before="156" w:beforeLines="50" w:lineRule="auto"/>
        <w:ind w:firstLine="420" w:firstLineChars="200"/>
        <w:rPr>
          <w:color w:val="000000"/>
          <w:kern w:val="0"/>
          <w:szCs w:val="21"/>
          <w:rFonts w:ascii="宋体" w:hAnsi="宋体" w:eastAsia="宋体" w:cs="TimesNewRomanPSMT" w:hint="eastAsia"/>
        </w:rPr>
      </w:pPr>
    </w:p>
    <w:p>
      <w:pPr>
        <w:jc w:val="left"/>
        <w:widowControl/>
        <w:spacing w:after="156" w:afterLines="50" w:before="156" w:beforeLines="50" w:lineRule="auto"/>
        <w:ind w:firstLine="482" w:firstLineChars="200"/>
        <w:rPr>
          <w:color w:val="000000"/>
          <w:sz w:val="20"/>
          <w:lang w:val="en-US" w:eastAsia="zh-CN"/>
          <w:kern w:val="0"/>
          <w:szCs w:val="20"/>
          <w:rFonts w:ascii="TimesNewRomanPSMT" w:hAnsi="TimesNewRomanPSMT" w:eastAsia="黑体" w:cs="TimesNewRomanPSMT" w:hint="default"/>
        </w:rPr>
      </w:pPr>
      <w:r>
        <w:rPr>
          <w:b w:val="1"/>
          <w:sz w:val="24"/>
          <w:szCs w:val="24"/>
          <w:rFonts w:ascii="黑体" w:hAnsi="黑体" w:eastAsia="黑体" w:cs="Times New Roman" w:hint="eastAsia"/>
        </w:rPr>
        <w:t>第六章</w:t>
      </w:r>
      <w:r>
        <w:rPr>
          <w:b w:val="1"/>
          <w:sz w:val="24"/>
          <w:szCs w:val="24"/>
          <w:rFonts w:ascii="黑体" w:hAnsi="黑体" w:eastAsia="黑体" w:cs="Times New Roman"/>
        </w:rPr>
        <w:t xml:space="preserve">  </w:t>
      </w:r>
      <w:r>
        <w:rPr>
          <w:b w:val="1"/>
          <w:sz w:val="24"/>
          <w:lang w:val="en-US" w:eastAsia="zh-CN"/>
          <w:szCs w:val="24"/>
          <w:rFonts w:ascii="黑体" w:hAnsi="黑体" w:eastAsia="黑体" w:cs="Times New Roman" w:hint="eastAsia"/>
        </w:rPr>
        <w:t>财务预警案例</w:t>
      </w:r>
    </w:p>
    <w:p>
      <w:pPr>
        <w:jc w:val="left"/>
        <w:widowControl/>
        <w:spacing w:after="156" w:afterLines="50" w:before="156" w:beforeLines="50" w:lineRule="auto"/>
        <w:ind w:firstLine="420" w:firstLineChars="200"/>
        <w:rPr>
          <w:color w:val="000000"/>
          <w:kern w:val="0"/>
          <w:szCs w:val="21"/>
          <w:rFonts w:ascii="宋体" w:hAnsi="宋体" w:eastAsia="宋体" w:cs="TimesNewRomanPSMT"/>
        </w:rPr>
      </w:pPr>
      <w:r>
        <w:rPr>
          <w:color w:val="000000"/>
          <w:kern w:val="0"/>
          <w:szCs w:val="21"/>
          <w:rFonts w:ascii="宋体" w:hAnsi="宋体" w:eastAsia="宋体" w:cs="TimesNewRomanPSMT"/>
        </w:rPr>
        <w:t>1.</w:t>
      </w:r>
      <w:r>
        <w:rPr>
          <w:color w:val="000000"/>
          <w:kern w:val="0"/>
          <w:szCs w:val="21"/>
          <w:rFonts w:ascii="宋体" w:hAnsi="宋体" w:eastAsia="宋体" w:cs="宋体" w:hint="eastAsia"/>
        </w:rPr>
        <w:t>教学目标：</w:t>
      </w:r>
      <w:r>
        <w:rPr>
          <w:color w:val="000000"/>
          <w:kern w:val="0"/>
          <w:szCs w:val="21"/>
          <w:rFonts w:ascii="宋体" w:hAnsi="宋体" w:eastAsia="宋体" w:cs="TimesNewRomanPSMT" w:hint="eastAsia"/>
        </w:rPr>
        <w:t>（</w:t>
      </w:r>
      <w:r>
        <w:rPr>
          <w:color w:val="000000"/>
          <w:kern w:val="0"/>
          <w:szCs w:val="21"/>
          <w:rFonts w:ascii="宋体" w:hAnsi="宋体" w:eastAsia="宋体" w:cs="TimesNewRomanPSMT"/>
        </w:rPr>
        <w:t>1</w:t>
      </w:r>
      <w:r>
        <w:rPr>
          <w:color w:val="000000"/>
          <w:kern w:val="0"/>
          <w:szCs w:val="21"/>
          <w:rFonts w:ascii="宋体" w:hAnsi="宋体" w:eastAsia="宋体" w:cs="TimesNewRomanPSMT" w:hint="eastAsia"/>
        </w:rPr>
        <w:t>）理解</w:t>
      </w:r>
      <w:r>
        <w:rPr>
          <w:color w:val="000000"/>
          <w:lang w:val="en-US" w:eastAsia="zh-CN"/>
          <w:kern w:val="0"/>
          <w:szCs w:val="21"/>
          <w:rFonts w:ascii="宋体" w:hAnsi="宋体" w:eastAsia="宋体" w:cs="TimesNewRomanPSMT" w:hint="eastAsia"/>
        </w:rPr>
        <w:t>财务预警</w:t>
      </w:r>
      <w:r>
        <w:rPr>
          <w:color w:val="000000"/>
          <w:kern w:val="0"/>
          <w:szCs w:val="21"/>
          <w:rFonts w:ascii="宋体" w:hAnsi="宋体" w:eastAsia="宋体" w:cs="TimesNewRomanPSMT" w:hint="eastAsia"/>
        </w:rPr>
        <w:t>的意义和作用；（</w:t>
      </w:r>
      <w:r>
        <w:rPr>
          <w:color w:val="000000"/>
          <w:kern w:val="0"/>
          <w:szCs w:val="21"/>
          <w:rFonts w:ascii="宋体" w:hAnsi="宋体" w:eastAsia="宋体" w:cs="TimesNewRomanPSMT"/>
        </w:rPr>
        <w:t>2</w:t>
      </w:r>
      <w:r>
        <w:rPr>
          <w:color w:val="000000"/>
          <w:kern w:val="0"/>
          <w:szCs w:val="21"/>
          <w:rFonts w:ascii="宋体" w:hAnsi="宋体" w:eastAsia="宋体" w:cs="TimesNewRomanPSMT" w:hint="eastAsia"/>
        </w:rPr>
        <w:t>）理解</w:t>
      </w:r>
      <w:r>
        <w:rPr>
          <w:color w:val="000000"/>
          <w:lang w:val="en-US" w:eastAsia="zh-CN"/>
          <w:kern w:val="0"/>
          <w:szCs w:val="21"/>
          <w:rFonts w:ascii="宋体" w:hAnsi="宋体" w:eastAsia="宋体" w:cs="TimesNewRomanPSMT" w:hint="eastAsia"/>
        </w:rPr>
        <w:t>财务预警方法</w:t>
      </w:r>
      <w:r>
        <w:rPr>
          <w:color w:val="000000"/>
          <w:kern w:val="0"/>
          <w:szCs w:val="21"/>
          <w:rFonts w:ascii="宋体" w:hAnsi="宋体" w:eastAsia="宋体" w:cs="TimesNewRomanPSMT" w:hint="eastAsia"/>
        </w:rPr>
        <w:t>；（</w:t>
      </w:r>
      <w:r>
        <w:rPr>
          <w:color w:val="000000"/>
          <w:kern w:val="0"/>
          <w:szCs w:val="21"/>
          <w:rFonts w:ascii="宋体" w:hAnsi="宋体" w:eastAsia="宋体" w:cs="TimesNewRomanPSMT"/>
        </w:rPr>
        <w:t>3</w:t>
      </w:r>
      <w:r>
        <w:rPr>
          <w:color w:val="000000"/>
          <w:kern w:val="0"/>
          <w:szCs w:val="21"/>
          <w:rFonts w:ascii="宋体" w:hAnsi="宋体" w:eastAsia="宋体" w:cs="TimesNewRomanPSMT" w:hint="eastAsia"/>
        </w:rPr>
        <w:t>）掌握</w:t>
      </w:r>
      <w:r>
        <w:rPr>
          <w:color w:val="000000"/>
          <w:lang w:val="en-US" w:eastAsia="zh-CN"/>
          <w:kern w:val="0"/>
          <w:szCs w:val="21"/>
          <w:rFonts w:ascii="宋体" w:hAnsi="宋体" w:eastAsia="宋体" w:cs="TimesNewRomanPSMT" w:hint="eastAsia"/>
        </w:rPr>
        <w:t>财务预警案例分析</w:t>
      </w:r>
      <w:r>
        <w:rPr>
          <w:color w:val="000000"/>
          <w:kern w:val="0"/>
          <w:szCs w:val="21"/>
          <w:rFonts w:ascii="宋体" w:hAnsi="宋体" w:eastAsia="宋体" w:cs="TimesNewRomanPSMT" w:hint="eastAsia"/>
        </w:rPr>
        <w:t>；（</w:t>
      </w:r>
      <w:r>
        <w:rPr>
          <w:color w:val="000000"/>
          <w:kern w:val="0"/>
          <w:szCs w:val="21"/>
          <w:rFonts w:ascii="宋体" w:hAnsi="宋体" w:eastAsia="宋体" w:cs="TimesNewRomanPSMT"/>
        </w:rPr>
        <w:t>4</w:t>
      </w:r>
      <w:r>
        <w:rPr>
          <w:color w:val="000000"/>
          <w:kern w:val="0"/>
          <w:szCs w:val="21"/>
          <w:rFonts w:ascii="宋体" w:hAnsi="宋体" w:eastAsia="宋体" w:cs="TimesNewRomanPSMT" w:hint="eastAsia"/>
        </w:rPr>
        <w:t>）学会财务</w:t>
      </w:r>
      <w:r>
        <w:rPr>
          <w:color w:val="000000"/>
          <w:lang w:val="en-US" w:eastAsia="zh-CN"/>
          <w:kern w:val="0"/>
          <w:szCs w:val="21"/>
          <w:rFonts w:ascii="宋体" w:hAnsi="宋体" w:eastAsia="宋体" w:cs="TimesNewRomanPSMT" w:hint="eastAsia"/>
        </w:rPr>
        <w:t>风险</w:t>
      </w:r>
      <w:r>
        <w:rPr>
          <w:color w:val="000000"/>
          <w:kern w:val="0"/>
          <w:szCs w:val="21"/>
          <w:rFonts w:ascii="宋体" w:hAnsi="宋体" w:eastAsia="宋体" w:cs="TimesNewRomanPSMT" w:hint="eastAsia"/>
        </w:rPr>
        <w:t>控制制度的设计。</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2.</w:t>
      </w:r>
      <w:r>
        <w:rPr>
          <w:color w:val="000000"/>
          <w:kern w:val="0"/>
          <w:szCs w:val="21"/>
          <w:rFonts w:ascii="宋体" w:hAnsi="宋体" w:eastAsia="宋体" w:cs="宋体" w:hint="eastAsia"/>
        </w:rPr>
        <w:t>教学重难点：（1）内部控制的特点和要求；（2）内部控制五要素；（3）常用的财务控制方法；（4）财务控制制度及其设计。</w:t>
      </w:r>
    </w:p>
    <w:p>
      <w:pPr>
        <w:jc w:val="left"/>
        <w:widowControl/>
        <w:spacing w:after="156" w:afterLines="50" w:before="156" w:beforeLines="50" w:lineRule="auto"/>
        <w:ind w:firstLine="420" w:firstLineChars="200"/>
        <w:rPr>
          <w:szCs w:val="21"/>
          <w:rFonts w:ascii="宋体" w:hAnsi="宋体" w:eastAsia="宋体"/>
        </w:rPr>
      </w:pPr>
      <w:r>
        <w:rPr>
          <w:color w:val="000000"/>
          <w:kern w:val="0"/>
          <w:szCs w:val="21"/>
          <w:rFonts w:ascii="宋体" w:hAnsi="宋体" w:eastAsia="宋体" w:cs="TimesNewRomanPSMT"/>
        </w:rPr>
        <w:t>3.</w:t>
      </w:r>
      <w:r>
        <w:rPr>
          <w:color w:val="000000"/>
          <w:kern w:val="0"/>
          <w:szCs w:val="21"/>
          <w:rFonts w:ascii="宋体" w:hAnsi="宋体" w:eastAsia="宋体" w:cs="宋体" w:hint="eastAsia"/>
        </w:rPr>
        <w:t>教学内容：（1）</w:t>
      </w:r>
      <w:r>
        <w:rPr>
          <w:color w:val="000000"/>
          <w:lang w:val="en-US" w:eastAsia="zh-CN"/>
          <w:kern w:val="0"/>
          <w:szCs w:val="21"/>
          <w:rFonts w:ascii="宋体" w:hAnsi="宋体" w:eastAsia="宋体" w:cs="宋体" w:hint="eastAsia"/>
        </w:rPr>
        <w:t>财务预警</w:t>
      </w:r>
      <w:r>
        <w:rPr>
          <w:color w:val="000000"/>
          <w:kern w:val="0"/>
          <w:szCs w:val="21"/>
          <w:rFonts w:ascii="宋体" w:hAnsi="宋体" w:eastAsia="宋体" w:cs="TimesNewRomanPSMT"/>
        </w:rPr>
        <w:t>理论</w:t>
      </w:r>
      <w:r>
        <w:rPr>
          <w:color w:val="000000"/>
          <w:kern w:val="0"/>
          <w:szCs w:val="21"/>
          <w:rFonts w:ascii="宋体" w:hAnsi="宋体" w:eastAsia="宋体" w:cs="TimesNewRomanPSMT" w:hint="eastAsia"/>
        </w:rPr>
        <w:t>及其运用</w:t>
      </w:r>
      <w:r>
        <w:rPr>
          <w:color w:val="000000"/>
          <w:kern w:val="0"/>
          <w:szCs w:val="21"/>
          <w:rFonts w:ascii="宋体" w:hAnsi="宋体" w:eastAsia="宋体" w:cs="宋体" w:hint="eastAsia"/>
        </w:rPr>
        <w:t>；（2）</w:t>
      </w:r>
      <w:r>
        <w:rPr>
          <w:color w:val="000000"/>
          <w:lang w:val="en-US" w:eastAsia="zh-CN"/>
          <w:kern w:val="0"/>
          <w:szCs w:val="21"/>
          <w:rFonts w:ascii="宋体" w:hAnsi="宋体" w:eastAsia="宋体" w:cs="宋体" w:hint="eastAsia"/>
        </w:rPr>
        <w:t>财务预警</w:t>
      </w:r>
      <w:r>
        <w:rPr>
          <w:color w:val="000000"/>
          <w:kern w:val="0"/>
          <w:szCs w:val="21"/>
          <w:rFonts w:ascii="宋体" w:hAnsi="宋体" w:eastAsia="宋体" w:cs="TimesNewRomanPSMT"/>
        </w:rPr>
        <w:t>的方法</w:t>
      </w:r>
      <w:r>
        <w:rPr>
          <w:color w:val="000000"/>
          <w:lang w:val="en-US" w:eastAsia="zh-CN"/>
          <w:kern w:val="0"/>
          <w:szCs w:val="21"/>
          <w:rFonts w:ascii="宋体" w:hAnsi="宋体" w:eastAsia="宋体" w:cs="TimesNewRomanPSMT" w:hint="eastAsia"/>
        </w:rPr>
        <w:t>及其运用</w:t>
      </w:r>
      <w:r>
        <w:rPr>
          <w:color w:val="000000"/>
          <w:kern w:val="0"/>
          <w:szCs w:val="21"/>
          <w:rFonts w:ascii="宋体" w:hAnsi="宋体" w:eastAsia="宋体" w:cs="宋体" w:hint="eastAsia"/>
        </w:rPr>
        <w:t>；（3）财务</w:t>
      </w:r>
      <w:r>
        <w:rPr>
          <w:color w:val="000000"/>
          <w:lang w:val="en-US" w:eastAsia="zh-CN"/>
          <w:kern w:val="0"/>
          <w:szCs w:val="21"/>
          <w:rFonts w:ascii="宋体" w:hAnsi="宋体" w:eastAsia="宋体" w:cs="宋体" w:hint="eastAsia"/>
        </w:rPr>
        <w:t>风险</w:t>
      </w:r>
      <w:r>
        <w:rPr>
          <w:color w:val="000000"/>
          <w:kern w:val="0"/>
          <w:szCs w:val="21"/>
          <w:rFonts w:ascii="宋体" w:hAnsi="宋体" w:eastAsia="宋体" w:cs="宋体" w:hint="eastAsia"/>
        </w:rPr>
        <w:t>控制制度及其设计。</w:t>
      </w:r>
    </w:p>
    <w:p>
      <w:pPr>
        <w:jc w:val="left"/>
        <w:widowControl/>
        <w:spacing w:after="156" w:afterLines="50" w:before="156" w:beforeLines="50" w:lineRule="auto"/>
        <w:ind w:firstLine="420" w:firstLineChars="200"/>
        <w:rPr>
          <w:color w:val="000000"/>
          <w:kern w:val="0"/>
          <w:szCs w:val="21"/>
          <w:rFonts w:ascii="宋体" w:hAnsi="宋体" w:eastAsia="宋体" w:cs="宋体"/>
        </w:rPr>
      </w:pPr>
      <w:r>
        <w:rPr>
          <w:color w:val="000000"/>
          <w:kern w:val="0"/>
          <w:szCs w:val="21"/>
          <w:rFonts w:ascii="宋体" w:hAnsi="宋体" w:eastAsia="宋体" w:cs="TimesNewRomanPSMT"/>
        </w:rPr>
        <w:t>4.</w:t>
      </w:r>
      <w:r>
        <w:rPr>
          <w:color w:val="000000"/>
          <w:kern w:val="0"/>
          <w:szCs w:val="21"/>
          <w:rFonts w:ascii="宋体" w:hAnsi="宋体" w:eastAsia="宋体" w:cs="宋体" w:hint="eastAsia"/>
        </w:rPr>
        <w:t>教学方法：讲授、讨论、案例分析。</w:t>
      </w:r>
    </w:p>
    <w:p>
      <w:pPr>
        <w:jc w:val="left"/>
        <w:widowControl/>
        <w:spacing w:after="156" w:afterLines="50" w:before="156" w:beforeLines="50" w:lineRule="auto"/>
        <w:ind w:firstLine="420" w:firstLineChars="200"/>
        <w:rPr>
          <w:color w:val="000000"/>
          <w:sz w:val="20"/>
          <w:kern w:val="0"/>
          <w:szCs w:val="20"/>
          <w:rFonts w:ascii="TimesNewRomanPSMT" w:hAnsi="TimesNewRomanPSMT" w:eastAsia="黑体" w:cs="TimesNewRomanPSMT"/>
        </w:rPr>
      </w:pPr>
      <w:r>
        <w:rPr>
          <w:color w:val="000000"/>
          <w:kern w:val="0"/>
          <w:szCs w:val="21"/>
          <w:rFonts w:ascii="宋体" w:hAnsi="宋体" w:eastAsia="宋体" w:cs="TimesNewRomanPSMT"/>
        </w:rPr>
        <w:t>5.</w:t>
      </w:r>
      <w:r>
        <w:rPr>
          <w:color w:val="000000"/>
          <w:kern w:val="0"/>
          <w:szCs w:val="21"/>
          <w:rFonts w:ascii="宋体" w:hAnsi="宋体" w:eastAsia="宋体" w:cs="TimesNewRomanPSMT" w:hint="eastAsia"/>
        </w:rPr>
        <w:t>教学评价：</w:t>
      </w:r>
      <w:r>
        <w:rPr>
          <w:color w:val="000000"/>
          <w:lang w:val="en-US" w:eastAsia="zh-CN"/>
          <w:kern w:val="0"/>
          <w:szCs w:val="21"/>
          <w:rFonts w:ascii="宋体" w:hAnsi="宋体" w:eastAsia="宋体" w:cs="TimesNewRomanPSMT" w:hint="eastAsia"/>
        </w:rPr>
        <w:t>讨论、完善案例分析报告</w:t>
      </w:r>
    </w:p>
    <w:p>
      <w:pPr>
        <w:jc w:val="left"/>
        <w:widowControl/>
        <w:spacing w:after="156" w:afterLines="50" w:before="156" w:beforeLines="50" w:lineRule="auto"/>
        <w:ind w:firstLine="420" w:firstLineChars="200"/>
        <w:rPr>
          <w:color w:val="000000"/>
          <w:kern w:val="0"/>
          <w:szCs w:val="21"/>
          <w:rFonts w:ascii="宋体" w:hAnsi="宋体" w:eastAsia="宋体" w:cs="TimesNewRomanPSMT" w:hint="eastAsia"/>
        </w:rPr>
      </w:pPr>
    </w:p>
    <w:p>
      <w:pPr>
        <w:jc w:val="left"/>
        <w:widowControl/>
        <w:spacing w:after="156" w:afterLines="50" w:before="156" w:beforeLines="50" w:lineRule="auto"/>
        <w:ind w:firstLine="562" w:firstLineChars="200"/>
      </w:pPr>
      <w:r>
        <w:rPr>
          <w:b w:val="1"/>
          <w:sz w:val="28"/>
          <w:szCs w:val="28"/>
          <w:rFonts w:ascii="黑体" w:hAnsi="黑体" w:eastAsia="黑体" w:hint="eastAsia"/>
        </w:rPr>
        <w:t>四、学时分配</w:t>
      </w:r>
    </w:p>
    <w:p>
      <w:pPr>
        <w:jc w:val="center"/>
        <w:widowControl/>
        <w:spacing w:after="156" w:afterLines="50" w:before="156" w:beforeLines="50" w:lineRule="auto"/>
        <w:rPr>
          <w:b w:val="1"/>
          <w:sz w:val="24"/>
          <w:szCs w:val="24"/>
          <w:rFonts w:ascii="黑体" w:hAnsi="黑体" w:eastAsia="黑体"/>
        </w:rPr>
      </w:pPr>
      <w:r>
        <w:rPr>
          <w:b w:val="1"/>
          <w:szCs w:val="21"/>
          <w:rFonts w:ascii="宋体" w:hAnsi="宋体" w:eastAsia="宋体" w:hint="eastAsia"/>
        </w:rPr>
        <w:t xml:space="preserve">表2 </w:t>
      </w:r>
      <w:r>
        <w:rPr>
          <w:b w:val="1"/>
          <w:szCs w:val="21"/>
          <w:rFonts w:ascii="宋体" w:hAnsi="宋体" w:eastAsia="宋体"/>
        </w:rPr>
        <w:t xml:space="preserve"> </w:t>
      </w:r>
      <w:r>
        <w:rPr>
          <w:b w:val="1"/>
          <w:szCs w:val="21"/>
          <w:rFonts w:ascii="宋体" w:hAnsi="宋体" w:eastAsia="宋体" w:hint="eastAsia"/>
        </w:rPr>
        <w:t>各章节的具体内容和学时分配表</w:t>
      </w:r>
    </w:p>
    <w:tbl>
      <w:tblPr>
        <w:tblStyle w:val="8"/>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2765.000000"/>
        <w:gridCol w:w="3467.000000"/>
        <w:gridCol w:w="1843.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40" w:hRule="atLeast"/>
          <w:jc w:val="center"/>
        </w:trPr>
        <w:tc>
          <w:tcPr>
            <w:tcW w:w="2765"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章 节</w:t>
            </w:r>
          </w:p>
        </w:tc>
        <w:tc>
          <w:tcPr>
            <w:tcW w:w="3467"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章节内容</w:t>
            </w:r>
          </w:p>
        </w:tc>
        <w:tc>
          <w:tcPr>
            <w:tcW w:w="1843"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40" w:hRule="atLeast"/>
          <w:jc w:val="center"/>
        </w:trPr>
        <w:tc>
          <w:tcPr>
            <w:tcW w:w="2765"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 xml:space="preserve">第一章 </w:t>
            </w:r>
          </w:p>
        </w:tc>
        <w:tc>
          <w:tcPr>
            <w:tcW w:w="3467" w:type="dxa"/>
            <w:vAlign w:val="center"/>
          </w:tcPr>
          <w:p>
            <w:pPr>
              <w:jc w:val="center"/>
              <w:widowControl/>
              <w:rPr>
                <w:lang w:val="en-US" w:eastAsia="zh-CN"/>
                <w:rFonts w:ascii="宋体" w:hAnsi="宋体" w:eastAsia="宋体" w:hint="eastAsia"/>
              </w:rPr>
            </w:pPr>
            <w:r>
              <w:rPr>
                <w:lang w:val="en-US" w:eastAsia="zh-CN"/>
                <w:rFonts w:ascii="宋体" w:hAnsi="宋体" w:eastAsia="宋体" w:hint="eastAsia"/>
              </w:rPr>
              <w:t>绪论</w:t>
            </w:r>
          </w:p>
        </w:tc>
        <w:tc>
          <w:tcPr>
            <w:tcW w:w="1843" w:type="dxa"/>
            <w:vAlign w:val="center"/>
          </w:tcPr>
          <w:p>
            <w:pPr>
              <w:jc w:val="center"/>
              <w:widowControl/>
              <w:spacing w:after="156" w:afterLines="50" w:before="156" w:beforeLines="50" w:lineRule="auto"/>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40" w:hRule="atLeast"/>
          <w:jc w:val="center"/>
        </w:trPr>
        <w:tc>
          <w:tcPr>
            <w:tcW w:w="2765"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 xml:space="preserve">第二章 </w:t>
            </w:r>
          </w:p>
        </w:tc>
        <w:tc>
          <w:tcPr>
            <w:tcW w:w="3467" w:type="dxa"/>
            <w:vAlign w:val="center"/>
          </w:tcPr>
          <w:p>
            <w:pPr>
              <w:jc w:val="center"/>
              <w:widowControl/>
              <w:rPr>
                <w:lang w:val="en-US" w:eastAsia="zh-CN"/>
                <w:rFonts w:ascii="宋体" w:hAnsi="宋体" w:eastAsia="宋体" w:hint="default"/>
              </w:rPr>
            </w:pPr>
            <w:r>
              <w:rPr>
                <w:lang w:val="en-US" w:eastAsia="zh-CN"/>
                <w:rFonts w:ascii="宋体" w:hAnsi="宋体" w:eastAsia="宋体" w:hint="eastAsia"/>
              </w:rPr>
              <w:t>财务预算管理案例</w:t>
            </w:r>
          </w:p>
        </w:tc>
        <w:tc>
          <w:tcPr>
            <w:tcW w:w="1843" w:type="dxa"/>
            <w:vAlign w:val="center"/>
          </w:tcPr>
          <w:p>
            <w:pPr>
              <w:jc w:val="center"/>
              <w:widowControl/>
              <w:spacing w:after="156" w:afterLines="50" w:before="156" w:beforeLines="50" w:lineRule="auto"/>
              <w:rPr>
                <w:lang w:val="en-US" w:eastAsia="zh-CN"/>
                <w:rFonts w:ascii="宋体" w:hAnsi="宋体" w:eastAsia="宋体" w:hint="default"/>
              </w:rPr>
            </w:pPr>
            <w:r>
              <w:rPr>
                <w:lang w:val="en-US" w:eastAsia="zh-CN"/>
                <w:rFonts w:ascii="宋体" w:hAnsi="宋体" w:eastAsia="宋体"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40" w:hRule="atLeast"/>
          <w:jc w:val="center"/>
        </w:trPr>
        <w:tc>
          <w:tcPr>
            <w:tcW w:w="2765"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 xml:space="preserve">第三章 </w:t>
            </w:r>
          </w:p>
        </w:tc>
        <w:tc>
          <w:tcPr>
            <w:tcW w:w="3467" w:type="dxa"/>
            <w:vAlign w:val="center"/>
          </w:tcPr>
          <w:p>
            <w:pPr>
              <w:jc w:val="center"/>
              <w:widowControl/>
              <w:rPr>
                <w:lang w:val="en-US" w:eastAsia="zh-CN"/>
                <w:rFonts w:ascii="宋体" w:hAnsi="宋体" w:eastAsia="宋体" w:hint="default"/>
              </w:rPr>
            </w:pPr>
            <w:r>
              <w:rPr>
                <w:lang w:val="en-US" w:eastAsia="zh-CN"/>
                <w:rFonts w:ascii="宋体" w:hAnsi="宋体" w:eastAsia="宋体" w:hint="eastAsia"/>
              </w:rPr>
              <w:t>筹资管理案例</w:t>
            </w:r>
          </w:p>
        </w:tc>
        <w:tc>
          <w:tcPr>
            <w:tcW w:w="1843" w:type="dxa"/>
            <w:vAlign w:val="center"/>
          </w:tcPr>
          <w:p>
            <w:pPr>
              <w:jc w:val="center"/>
              <w:widowControl/>
              <w:spacing w:after="156" w:afterLines="50" w:before="156" w:beforeLines="50" w:lineRule="auto"/>
              <w:rPr>
                <w:lang w:val="en-US" w:eastAsia="zh-CN"/>
                <w:rFonts w:ascii="宋体" w:hAnsi="宋体" w:eastAsia="宋体" w:hint="eastAsia"/>
              </w:rPr>
            </w:pPr>
            <w:r>
              <w:rPr>
                <w:lang w:val="en-US" w:eastAsia="zh-CN"/>
                <w:rFonts w:ascii="宋体" w:hAnsi="宋体" w:eastAsia="宋体"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40" w:hRule="atLeast"/>
          <w:jc w:val="center"/>
        </w:trPr>
        <w:tc>
          <w:tcPr>
            <w:tcW w:w="2765"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 xml:space="preserve">第四章 </w:t>
            </w:r>
          </w:p>
        </w:tc>
        <w:tc>
          <w:tcPr>
            <w:tcW w:w="3467" w:type="dxa"/>
            <w:vAlign w:val="center"/>
          </w:tcPr>
          <w:p>
            <w:pPr>
              <w:jc w:val="center"/>
              <w:widowControl/>
              <w:rPr>
                <w:lang w:val="en-US" w:eastAsia="zh-CN"/>
                <w:rFonts w:ascii="宋体" w:hAnsi="宋体" w:eastAsia="宋体" w:hint="default"/>
              </w:rPr>
            </w:pPr>
            <w:r>
              <w:rPr>
                <w:lang w:val="en-US" w:eastAsia="zh-CN"/>
                <w:rFonts w:ascii="宋体" w:hAnsi="宋体" w:eastAsia="宋体" w:hint="eastAsia"/>
              </w:rPr>
              <w:t>投资管理案例</w:t>
            </w:r>
          </w:p>
        </w:tc>
        <w:tc>
          <w:tcPr>
            <w:tcW w:w="1843" w:type="dxa"/>
            <w:vAlign w:val="center"/>
          </w:tcPr>
          <w:p>
            <w:pPr>
              <w:jc w:val="center"/>
              <w:widowControl/>
              <w:spacing w:after="156" w:afterLines="50" w:before="156" w:beforeLines="50" w:lineRule="auto"/>
              <w:rPr>
                <w:lang w:val="en-US" w:eastAsia="zh-CN"/>
                <w:rFonts w:ascii="宋体" w:hAnsi="宋体" w:eastAsia="宋体" w:hint="eastAsia"/>
              </w:rPr>
            </w:pPr>
            <w:r>
              <w:rPr>
                <w:lang w:val="en-US" w:eastAsia="zh-CN"/>
                <w:rFonts w:ascii="宋体" w:hAnsi="宋体" w:eastAsia="宋体"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40" w:hRule="atLeast"/>
          <w:jc w:val="center"/>
        </w:trPr>
        <w:tc>
          <w:tcPr>
            <w:tcW w:w="2765"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 xml:space="preserve">第五章 </w:t>
            </w:r>
          </w:p>
        </w:tc>
        <w:tc>
          <w:tcPr>
            <w:tcW w:w="3467" w:type="dxa"/>
            <w:vAlign w:val="center"/>
          </w:tcPr>
          <w:p>
            <w:pPr>
              <w:jc w:val="center"/>
              <w:rPr>
                <w:lang w:val="en-US" w:eastAsia="zh-CN"/>
                <w:rFonts w:ascii="宋体" w:hAnsi="宋体" w:eastAsia="宋体" w:hint="default"/>
              </w:rPr>
            </w:pPr>
            <w:r>
              <w:rPr>
                <w:lang w:val="en-US" w:eastAsia="zh-CN"/>
                <w:rFonts w:ascii="宋体" w:hAnsi="宋体" w:eastAsia="宋体" w:hint="eastAsia"/>
              </w:rPr>
              <w:t>股利决策案例</w:t>
            </w:r>
          </w:p>
        </w:tc>
        <w:tc>
          <w:tcPr>
            <w:tcW w:w="1843" w:type="dxa"/>
            <w:vAlign w:val="center"/>
          </w:tcPr>
          <w:p>
            <w:pPr>
              <w:jc w:val="center"/>
              <w:widowControl/>
              <w:spacing w:after="156" w:afterLines="50" w:before="156" w:beforeLines="50" w:lineRule="auto"/>
              <w:rPr>
                <w:lang w:val="en-US" w:eastAsia="zh-CN"/>
                <w:rFonts w:ascii="宋体" w:hAnsi="宋体" w:eastAsia="宋体" w:hint="eastAsia"/>
              </w:rPr>
            </w:pPr>
            <w:r>
              <w:rPr>
                <w:lang w:val="en-US" w:eastAsia="zh-CN"/>
                <w:rFonts w:ascii="宋体" w:hAnsi="宋体" w:eastAsia="宋体"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40" w:hRule="atLeast"/>
          <w:jc w:val="center"/>
        </w:trPr>
        <w:tc>
          <w:tcPr>
            <w:tcW w:w="2765" w:type="dxa"/>
            <w:vAlign w:val="center"/>
          </w:tcPr>
          <w:p>
            <w:pPr>
              <w:jc w:val="center"/>
              <w:widowControl/>
              <w:spacing w:after="156" w:afterLines="50" w:before="156" w:beforeLines="50" w:lineRule="auto"/>
              <w:rPr>
                <w:rFonts w:ascii="宋体" w:hAnsi="宋体" w:eastAsia="宋体"/>
              </w:rPr>
            </w:pPr>
            <w:r>
              <w:rPr>
                <w:rFonts w:ascii="宋体" w:hAnsi="宋体" w:eastAsia="宋体" w:hint="eastAsia"/>
              </w:rPr>
              <w:t xml:space="preserve">第六章 </w:t>
            </w:r>
          </w:p>
        </w:tc>
        <w:tc>
          <w:tcPr>
            <w:tcW w:w="3467" w:type="dxa"/>
            <w:vAlign w:val="center"/>
          </w:tcPr>
          <w:p>
            <w:pPr>
              <w:jc w:val="center"/>
              <w:rPr>
                <w:lang w:val="en-US" w:eastAsia="zh-CN"/>
                <w:rFonts w:ascii="宋体" w:hAnsi="宋体" w:eastAsia="宋体" w:hint="default"/>
              </w:rPr>
            </w:pPr>
            <w:r>
              <w:rPr>
                <w:lang w:val="en-US" w:eastAsia="zh-CN"/>
                <w:rFonts w:ascii="宋体" w:hAnsi="宋体" w:eastAsia="宋体" w:hint="eastAsia"/>
              </w:rPr>
              <w:t>财务预警案例</w:t>
            </w:r>
          </w:p>
        </w:tc>
        <w:tc>
          <w:tcPr>
            <w:tcW w:w="1843" w:type="dxa"/>
            <w:vAlign w:val="center"/>
          </w:tcPr>
          <w:p>
            <w:pPr>
              <w:jc w:val="center"/>
              <w:widowControl/>
              <w:spacing w:after="156" w:afterLines="50" w:before="156" w:beforeLines="50" w:lineRule="auto"/>
              <w:rPr>
                <w:lang w:val="en-US" w:eastAsia="zh-CN"/>
                <w:rFonts w:ascii="宋体" w:hAnsi="宋体" w:eastAsia="宋体" w:hint="eastAsia"/>
              </w:rPr>
            </w:pPr>
            <w:r>
              <w:rPr>
                <w:lang w:val="en-US" w:eastAsia="zh-CN"/>
                <w:rFonts w:ascii="宋体" w:hAnsi="宋体" w:eastAsia="宋体"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40" w:hRule="atLeast"/>
          <w:jc w:val="center"/>
        </w:trPr>
        <w:tc>
          <w:tcPr>
            <w:tcW w:w="2765" w:type="dxa"/>
            <w:vAlign w:val="center"/>
          </w:tcPr>
          <w:p>
            <w:pPr>
              <w:jc w:val="center"/>
              <w:widowControl/>
              <w:spacing w:after="156" w:afterLines="50" w:before="156" w:beforeLines="50" w:lineRule="auto"/>
              <w:rPr>
                <w:lang w:val="en-US" w:eastAsia="zh-CN"/>
                <w:rFonts w:ascii="宋体" w:hAnsi="宋体" w:eastAsia="宋体" w:hint="default"/>
              </w:rPr>
            </w:pPr>
            <w:r>
              <w:rPr>
                <w:lang w:val="en-US" w:eastAsia="zh-CN"/>
                <w:rFonts w:ascii="宋体" w:hAnsi="宋体" w:eastAsia="宋体" w:hint="eastAsia"/>
              </w:rPr>
              <w:t>第七章</w:t>
            </w:r>
          </w:p>
        </w:tc>
        <w:tc>
          <w:tcPr>
            <w:tcW w:w="3467" w:type="dxa"/>
            <w:vAlign w:val="center"/>
          </w:tcPr>
          <w:p>
            <w:pPr>
              <w:jc w:val="center"/>
              <w:rPr>
                <w:lang w:val="en-US" w:eastAsia="zh-CN"/>
                <w:rFonts w:ascii="宋体" w:hAnsi="宋体" w:eastAsia="宋体" w:hint="default"/>
              </w:rPr>
            </w:pPr>
            <w:r>
              <w:rPr>
                <w:lang w:val="en-US" w:eastAsia="zh-CN"/>
                <w:rFonts w:ascii="宋体" w:hAnsi="宋体" w:eastAsia="宋体" w:hint="eastAsia"/>
              </w:rPr>
              <w:t>互动式讨论</w:t>
            </w:r>
          </w:p>
        </w:tc>
        <w:tc>
          <w:tcPr>
            <w:tcW w:w="1843" w:type="dxa"/>
            <w:vAlign w:val="center"/>
          </w:tcPr>
          <w:p>
            <w:pPr>
              <w:jc w:val="center"/>
              <w:widowControl/>
              <w:spacing w:after="156" w:afterLines="50" w:before="156" w:beforeLines="50" w:lineRule="auto"/>
              <w:rPr>
                <w:lang w:val="en-US" w:eastAsia="zh-CN"/>
                <w:rFonts w:ascii="宋体" w:hAnsi="宋体" w:eastAsia="宋体" w:hint="default"/>
              </w:rPr>
            </w:pPr>
            <w:r>
              <w:rPr>
                <w:lang w:val="en-US" w:eastAsia="zh-CN"/>
                <w:rFonts w:ascii="宋体" w:hAnsi="宋体" w:eastAsia="宋体" w:hint="eastAsia"/>
              </w:rPr>
              <w:t>6</w:t>
            </w:r>
          </w:p>
        </w:tc>
      </w:tr>
    </w:tbl>
    <w:p>
      <w:pPr>
        <w:jc w:val="left"/>
        <w:widowControl/>
        <w:numPr>
          <w:ilvl w:val="0"/>
          <w:numId w:val="5"/>
        </w:numPr>
        <w:spacing w:after="156" w:afterLines="50" w:before="156" w:beforeLines="50" w:lineRule="auto"/>
        <w:rPr>
          <w:b w:val="1"/>
          <w:sz w:val="28"/>
          <w:szCs w:val="28"/>
          <w:rFonts w:ascii="黑体" w:hAnsi="黑体" w:eastAsia="黑体"/>
        </w:rPr>
      </w:pPr>
      <w:r>
        <w:rPr>
          <w:b w:val="1"/>
          <w:sz w:val="28"/>
          <w:szCs w:val="28"/>
          <w:rFonts w:ascii="黑体" w:hAnsi="黑体" w:eastAsia="黑体" w:hint="eastAsia"/>
        </w:rPr>
        <w:t>教学进度</w:t>
      </w:r>
    </w:p>
    <w:p>
      <w:pPr>
        <w:jc w:val="center"/>
        <w:widowControl/>
        <w:spacing w:after="156" w:afterLines="50" w:before="156" w:beforeLines="50" w:lineRule="auto"/>
        <w:rPr>
          <w:b w:val="1"/>
          <w:szCs w:val="21"/>
          <w:rFonts w:ascii="宋体" w:hAnsi="宋体" w:eastAsia="宋体"/>
        </w:rPr>
      </w:pPr>
      <w:r>
        <w:rPr>
          <w:b w:val="1"/>
          <w:szCs w:val="21"/>
          <w:rFonts w:ascii="宋体" w:hAnsi="宋体" w:eastAsia="宋体" w:hint="eastAsia"/>
        </w:rPr>
        <w:t xml:space="preserve">表3 </w:t>
      </w:r>
      <w:r>
        <w:rPr>
          <w:b w:val="1"/>
          <w:szCs w:val="21"/>
          <w:rFonts w:ascii="宋体" w:hAnsi="宋体" w:eastAsia="宋体"/>
        </w:rPr>
        <w:t xml:space="preserve"> </w:t>
      </w:r>
      <w:r>
        <w:rPr>
          <w:b w:val="1"/>
          <w:szCs w:val="21"/>
          <w:rFonts w:ascii="宋体" w:hAnsi="宋体" w:eastAsia="宋体" w:hint="eastAsia"/>
        </w:rPr>
        <w:t>教学进度表</w:t>
      </w:r>
    </w:p>
    <w:tbl>
      <w:tblPr>
        <w:tblStyle w:val="7"/>
        <w:tblW w:w="8217" w:type="dxa"/>
        <w:tblInd w:type="dxa" w:w="0.00000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Layout w:type="autofit"/>
      </w:tblPr>
      <w:tblGrid>
        <w:gridCol w:w="732.000000"/>
        <w:gridCol w:w="681.000000"/>
        <w:gridCol w:w="3260.000000"/>
        <w:gridCol w:w="567.000000"/>
        <w:gridCol w:w="1985.000000"/>
        <w:gridCol w:w="992.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51"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szCs w:val="21"/>
                <w:rFonts w:ascii="Times New Roman" w:hAnsi="宋体" w:eastAsia="Times New Roman" w:cs="Times New Roman"/>
              </w:rPr>
            </w:pPr>
            <w:r>
              <w:rPr>
                <w:szCs w:val="21"/>
                <w:rFonts w:hAnsi="宋体"/>
              </w:rPr>
              <w:t>周</w:t>
            </w:r>
            <w:r>
              <w:rPr>
                <w:szCs w:val="21"/>
                <w:rFonts w:ascii="宋体" w:hAnsi="宋体" w:eastAsia="宋体" w:cs="宋体" w:hint="eastAsia"/>
              </w:rPr>
              <w:t>次</w:t>
            </w:r>
          </w:p>
        </w:tc>
        <w:tc>
          <w:tcPr>
            <w:tcW w:w="681"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r>
              <w:rPr>
                <w:szCs w:val="21"/>
                <w:rFonts w:ascii="宋体" w:hAnsi="宋体" w:eastAsia="宋体" w:cs="宋体" w:hint="eastAsia"/>
              </w:rPr>
              <w:t>起讫日期</w:t>
            </w:r>
          </w:p>
        </w:tc>
        <w:tc>
          <w:tcPr>
            <w:tcW w:w="3260" w:type="dxa"/>
            <w:vAlign w:val="center"/>
            <w:tcBorders>
              <w:top w:val="single" w:color="auto" w:sz="4" w:space="0"/>
              <w:left w:val="single" w:color="auto" w:sz="4" w:space="0"/>
              <w:bottom w:val="single" w:color="auto" w:sz="4" w:space="0"/>
              <w:right w:val="single" w:color="auto" w:sz="4" w:space="0"/>
            </w:tcBorders>
          </w:tcPr>
          <w:p>
            <w:pPr>
              <w:jc w:val="center"/>
              <w:rPr>
                <w:rFonts w:ascii="宋体" w:hAnsi="宋体" w:eastAsia="宋体"/>
              </w:rPr>
            </w:pPr>
            <w:r>
              <w:rPr>
                <w:rFonts w:ascii="宋体" w:hAnsi="宋体" w:eastAsia="宋体" w:hint="eastAsia"/>
              </w:rPr>
              <w:t>教学内容</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szCs w:val="21"/>
                <w:rFonts w:ascii="Times New Roman" w:hAnsi="宋体" w:eastAsia="Times New Roman" w:hint="eastAsia"/>
              </w:rPr>
            </w:pPr>
            <w:r>
              <w:rPr>
                <w:szCs w:val="21"/>
                <w:rFonts w:ascii="宋体" w:hAnsi="宋体" w:eastAsia="宋体" w:cs="宋体" w:hint="eastAsia"/>
              </w:rPr>
              <w:t>教时分配</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r>
              <w:rPr>
                <w:szCs w:val="21"/>
                <w:rFonts w:ascii="宋体" w:hAnsi="宋体" w:eastAsia="宋体" w:cs="宋体" w:hint="eastAsia"/>
              </w:rPr>
              <w:t>作业及要求</w:t>
            </w:r>
          </w:p>
        </w:tc>
        <w:tc>
          <w:tcPr>
            <w:tcW w:w="992"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r>
              <w:rPr>
                <w:szCs w:val="21"/>
                <w:rFonts w:ascii="宋体" w:hAnsi="宋体" w:eastAsia="宋体" w:cs="宋体"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40"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r>
              <w:rPr>
                <w:szCs w:val="21"/>
                <w:rFonts w:hAnsi="宋体"/>
              </w:rPr>
              <w:t>1</w:t>
            </w:r>
          </w:p>
        </w:tc>
        <w:tc>
          <w:tcPr>
            <w:tcW w:w="681"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c>
          <w:tcPr>
            <w:tcW w:w="3260" w:type="dxa"/>
            <w:vAlign w:val="center"/>
            <w:tcBorders>
              <w:top w:val="single" w:color="auto" w:sz="4" w:space="0"/>
              <w:left w:val="single" w:color="auto" w:sz="4" w:space="0"/>
              <w:bottom w:val="single" w:color="auto" w:sz="4" w:space="0"/>
              <w:right w:val="single" w:color="auto" w:sz="4" w:space="0"/>
            </w:tcBorders>
          </w:tcPr>
          <w:p>
            <w:pPr>
              <w:jc w:val="center"/>
              <w:rPr>
                <w:rFonts w:ascii="宋体" w:hAnsi="宋体" w:eastAsia="宋体"/>
              </w:rPr>
            </w:pPr>
            <w:r>
              <w:rPr>
                <w:rFonts w:ascii="宋体" w:hAnsi="宋体" w:eastAsia="宋体" w:hint="eastAsia"/>
              </w:rPr>
              <w:t xml:space="preserve">第一章  </w:t>
            </w:r>
            <w:r>
              <w:rPr>
                <w:lang w:val="en-US" w:eastAsia="zh-CN"/>
                <w:rFonts w:ascii="宋体" w:hAnsi="宋体" w:eastAsia="宋体" w:hint="eastAsia"/>
              </w:rPr>
              <w:t>绪论</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szCs w:val="21"/>
                <w:rFonts w:ascii="Times New Roman" w:hAnsi="宋体" w:eastAsia="Times New Roman" w:hint="eastAsia"/>
              </w:rPr>
            </w:pPr>
            <w:r>
              <w:rPr>
                <w:szCs w:val="21"/>
                <w:rFonts w:hAnsi="宋体"/>
              </w:rPr>
              <w:t>3</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r>
              <w:rPr>
                <w:szCs w:val="21"/>
                <w:rFonts w:ascii="宋体" w:hAnsi="宋体" w:eastAsia="宋体" w:cs="宋体" w:hint="eastAsia"/>
              </w:rPr>
              <w:t>布置课程论文</w:t>
            </w:r>
          </w:p>
        </w:tc>
        <w:tc>
          <w:tcPr>
            <w:tcW w:w="992"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40"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hint="default" w:eastAsiaTheme="minorEastAsia"/>
              </w:rPr>
            </w:pPr>
            <w:r>
              <w:rPr>
                <w:szCs w:val="21"/>
                <w:rFonts w:hAnsi="宋体"/>
              </w:rPr>
              <w:t>2</w:t>
            </w:r>
            <w:r>
              <w:rPr>
                <w:lang w:val="en-US" w:eastAsia="zh-CN"/>
                <w:szCs w:val="21"/>
                <w:rFonts w:hAnsi="宋体" w:hint="eastAsia"/>
              </w:rPr>
              <w:t>-5</w:t>
            </w:r>
          </w:p>
        </w:tc>
        <w:tc>
          <w:tcPr>
            <w:tcW w:w="681"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c>
          <w:tcPr>
            <w:tcW w:w="3260" w:type="dxa"/>
            <w:tcBorders>
              <w:top w:val="single" w:color="auto" w:sz="4" w:space="0"/>
              <w:left w:val="single" w:color="auto" w:sz="4" w:space="0"/>
              <w:bottom w:val="single" w:color="auto" w:sz="4" w:space="0"/>
              <w:right w:val="single" w:color="auto" w:sz="4" w:space="0"/>
            </w:tcBorders>
          </w:tcPr>
          <w:p>
            <w:pPr>
              <w:jc w:val="center"/>
              <w:rPr>
                <w:lang w:val="en-US" w:eastAsia="zh-CN"/>
                <w:rFonts w:ascii="宋体" w:hAnsi="宋体" w:eastAsia="宋体" w:hint="eastAsia"/>
              </w:rPr>
            </w:pPr>
            <w:r>
              <w:rPr>
                <w:rFonts w:ascii="宋体" w:hAnsi="宋体" w:eastAsia="宋体" w:hint="eastAsia"/>
              </w:rPr>
              <w:t>第二章  财务</w:t>
            </w:r>
            <w:r>
              <w:rPr>
                <w:lang w:val="en-US" w:eastAsia="zh-CN"/>
                <w:rFonts w:ascii="宋体" w:hAnsi="宋体" w:eastAsia="宋体" w:hint="eastAsia"/>
              </w:rPr>
              <w:t>预算</w:t>
            </w:r>
            <w:r>
              <w:rPr>
                <w:rFonts w:ascii="宋体" w:hAnsi="宋体" w:eastAsia="宋体" w:hint="eastAsia"/>
              </w:rPr>
              <w:t>管理</w:t>
            </w:r>
            <w:r>
              <w:rPr>
                <w:lang w:val="en-US" w:eastAsia="zh-CN"/>
                <w:rFonts w:ascii="宋体" w:hAnsi="宋体" w:eastAsia="宋体" w:hint="eastAsia"/>
              </w:rPr>
              <w:t>案例</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ascii="Times New Roman" w:hAnsi="宋体" w:eastAsia="宋体" w:hint="default"/>
              </w:rPr>
            </w:pPr>
            <w:r>
              <w:rPr>
                <w:lang w:val="en-US" w:eastAsia="zh-CN"/>
                <w:szCs w:val="21"/>
                <w:rFonts w:ascii="Times New Roman" w:hAnsi="宋体" w:eastAsia="宋体" w:hint="eastAsia"/>
              </w:rPr>
              <w:t>12</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r>
              <w:rPr>
                <w:szCs w:val="21"/>
                <w:rFonts w:ascii="宋体" w:hAnsi="宋体" w:eastAsia="宋体" w:cs="宋体" w:hint="eastAsia"/>
              </w:rPr>
              <w:t>布置</w:t>
            </w:r>
            <w:r>
              <w:rPr>
                <w:lang w:val="en-US" w:eastAsia="zh-CN"/>
                <w:szCs w:val="21"/>
                <w:rFonts w:ascii="宋体" w:hAnsi="宋体" w:eastAsia="宋体" w:cs="宋体" w:hint="eastAsia"/>
              </w:rPr>
              <w:t>业务预算和财务预算</w:t>
            </w:r>
            <w:r>
              <w:rPr>
                <w:szCs w:val="21"/>
                <w:rFonts w:hint="eastAsia" w:asciiTheme="minorEastAsia" w:hAnsiTheme="minorEastAsia"/>
              </w:rPr>
              <w:t>案例研究</w:t>
            </w:r>
          </w:p>
        </w:tc>
        <w:tc>
          <w:tcPr>
            <w:tcW w:w="992"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40"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hint="default" w:eastAsiaTheme="minorEastAsia"/>
              </w:rPr>
            </w:pPr>
            <w:r>
              <w:rPr>
                <w:lang w:val="en-US" w:eastAsia="zh-CN"/>
                <w:szCs w:val="21"/>
                <w:rFonts w:hAnsi="宋体" w:hint="eastAsia"/>
              </w:rPr>
              <w:t>6-8</w:t>
            </w:r>
          </w:p>
        </w:tc>
        <w:tc>
          <w:tcPr>
            <w:tcW w:w="681"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c>
          <w:tcPr>
            <w:tcW w:w="3260"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rFonts w:ascii="宋体" w:hAnsi="宋体" w:eastAsia="宋体" w:hint="default"/>
              </w:rPr>
            </w:pPr>
            <w:r>
              <w:rPr>
                <w:rFonts w:ascii="宋体" w:hAnsi="宋体" w:eastAsia="宋体" w:hint="eastAsia"/>
              </w:rPr>
              <w:t xml:space="preserve">第三章  </w:t>
            </w:r>
            <w:r>
              <w:rPr>
                <w:lang w:val="en-US" w:eastAsia="zh-CN"/>
                <w:rFonts w:ascii="宋体" w:hAnsi="宋体" w:eastAsia="宋体" w:hint="eastAsia"/>
              </w:rPr>
              <w:t>筹资管理案例</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ascii="Times New Roman" w:hAnsi="宋体" w:eastAsia="宋体" w:hint="eastAsia"/>
              </w:rPr>
            </w:pPr>
            <w:r>
              <w:rPr>
                <w:lang w:val="en-US" w:eastAsia="zh-CN"/>
                <w:szCs w:val="21"/>
                <w:rFonts w:ascii="Times New Roman" w:hAnsi="宋体" w:eastAsia="宋体" w:hint="eastAsia"/>
              </w:rPr>
              <w:t>9</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eastAsia="宋体" w:hint="default"/>
              </w:rPr>
            </w:pPr>
            <w:r>
              <w:rPr>
                <w:szCs w:val="21"/>
                <w:rFonts w:ascii="宋体" w:hAnsi="宋体" w:eastAsia="宋体" w:cs="宋体" w:hint="eastAsia"/>
              </w:rPr>
              <w:t>布置</w:t>
            </w:r>
            <w:r>
              <w:rPr>
                <w:lang w:val="en-US" w:eastAsia="zh-CN"/>
                <w:szCs w:val="21"/>
                <w:rFonts w:ascii="宋体" w:hAnsi="宋体" w:eastAsia="宋体" w:cs="宋体" w:hint="eastAsia"/>
              </w:rPr>
              <w:t>可转换债券和配股案例研究</w:t>
            </w:r>
          </w:p>
        </w:tc>
        <w:tc>
          <w:tcPr>
            <w:tcW w:w="992"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40"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hint="default" w:eastAsiaTheme="minorEastAsia"/>
              </w:rPr>
            </w:pPr>
            <w:r>
              <w:rPr>
                <w:lang w:val="en-US" w:eastAsia="zh-CN"/>
                <w:szCs w:val="21"/>
                <w:rFonts w:hAnsi="宋体" w:hint="eastAsia"/>
              </w:rPr>
              <w:t>9-11</w:t>
            </w:r>
          </w:p>
        </w:tc>
        <w:tc>
          <w:tcPr>
            <w:tcW w:w="681"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c>
          <w:tcPr>
            <w:tcW w:w="3260"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rFonts w:ascii="宋体" w:hAnsi="宋体" w:eastAsia="宋体" w:hint="default"/>
              </w:rPr>
            </w:pPr>
            <w:r>
              <w:rPr>
                <w:rFonts w:ascii="宋体" w:hAnsi="宋体" w:eastAsia="宋体" w:hint="eastAsia"/>
              </w:rPr>
              <w:t xml:space="preserve">第四章  </w:t>
            </w:r>
            <w:r>
              <w:rPr>
                <w:lang w:val="en-US" w:eastAsia="zh-CN"/>
                <w:rFonts w:ascii="宋体" w:hAnsi="宋体" w:eastAsia="宋体" w:hint="eastAsia"/>
              </w:rPr>
              <w:t>投资管理案例</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ascii="Times New Roman" w:hAnsi="宋体" w:eastAsia="宋体" w:hint="eastAsia"/>
              </w:rPr>
            </w:pPr>
            <w:r>
              <w:rPr>
                <w:lang w:val="en-US" w:eastAsia="zh-CN"/>
                <w:szCs w:val="21"/>
                <w:rFonts w:ascii="Times New Roman" w:hAnsi="宋体" w:eastAsia="宋体" w:hint="eastAsia"/>
              </w:rPr>
              <w:t>9</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hint="default" w:eastAsiaTheme="minorEastAsia"/>
              </w:rPr>
            </w:pPr>
            <w:r>
              <w:rPr>
                <w:lang w:val="en-US" w:eastAsia="zh-CN"/>
                <w:szCs w:val="21"/>
                <w:rFonts w:hAnsi="宋体" w:hint="eastAsia"/>
              </w:rPr>
              <w:t>布置通货膨胀条件下项目投资决策案例研究</w:t>
            </w:r>
          </w:p>
        </w:tc>
        <w:tc>
          <w:tcPr>
            <w:tcW w:w="992"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40"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hint="default" w:eastAsiaTheme="minorEastAsia"/>
              </w:rPr>
            </w:pPr>
            <w:r>
              <w:rPr>
                <w:lang w:val="en-US" w:eastAsia="zh-CN"/>
                <w:szCs w:val="21"/>
                <w:rFonts w:hAnsi="宋体" w:hint="eastAsia"/>
              </w:rPr>
              <w:t>12-13</w:t>
            </w:r>
          </w:p>
        </w:tc>
        <w:tc>
          <w:tcPr>
            <w:tcW w:w="681"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c>
          <w:tcPr>
            <w:tcW w:w="3260"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rFonts w:ascii="宋体" w:hAnsi="宋体" w:eastAsia="宋体" w:hint="default"/>
              </w:rPr>
            </w:pPr>
            <w:r>
              <w:rPr>
                <w:lang w:val="en-US" w:eastAsia="zh-CN"/>
                <w:rFonts w:ascii="宋体" w:hAnsi="宋体" w:eastAsia="宋体" w:hint="eastAsia"/>
              </w:rPr>
              <w:t>第五章  股利决策案例</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ascii="Times New Roman" w:hAnsi="宋体" w:eastAsia="宋体" w:hint="eastAsia"/>
              </w:rPr>
            </w:pPr>
            <w:r>
              <w:rPr>
                <w:lang w:val="en-US" w:eastAsia="zh-CN"/>
                <w:szCs w:val="21"/>
                <w:rFonts w:ascii="Times New Roman" w:hAnsi="宋体" w:eastAsia="宋体" w:hint="eastAsia"/>
              </w:rPr>
              <w:t>6</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hint="default" w:eastAsiaTheme="minorEastAsia"/>
              </w:rPr>
            </w:pPr>
            <w:r>
              <w:rPr>
                <w:lang w:val="en-US" w:eastAsia="zh-CN"/>
                <w:szCs w:val="21"/>
                <w:rFonts w:hAnsi="宋体" w:hint="eastAsia"/>
              </w:rPr>
              <w:t>布置股票股利和股票分割案例研究</w:t>
            </w:r>
          </w:p>
        </w:tc>
        <w:tc>
          <w:tcPr>
            <w:tcW w:w="992"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40"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hint="default" w:eastAsiaTheme="minorEastAsia"/>
              </w:rPr>
            </w:pPr>
            <w:r>
              <w:rPr>
                <w:lang w:val="en-US" w:eastAsia="zh-CN"/>
                <w:szCs w:val="21"/>
                <w:rFonts w:hAnsi="宋体" w:hint="eastAsia"/>
              </w:rPr>
              <w:t>14-15</w:t>
            </w:r>
          </w:p>
        </w:tc>
        <w:tc>
          <w:tcPr>
            <w:tcW w:w="681"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c>
          <w:tcPr>
            <w:tcW w:w="3260"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rFonts w:ascii="宋体" w:hAnsi="宋体" w:eastAsia="宋体" w:hint="default"/>
              </w:rPr>
            </w:pPr>
            <w:r>
              <w:rPr>
                <w:rFonts w:ascii="宋体" w:hAnsi="宋体" w:eastAsia="宋体" w:hint="eastAsia"/>
              </w:rPr>
              <w:t>第</w:t>
            </w:r>
            <w:r>
              <w:rPr>
                <w:lang w:val="en-US" w:eastAsia="zh-CN"/>
                <w:rFonts w:ascii="宋体" w:hAnsi="宋体" w:eastAsia="宋体" w:hint="eastAsia"/>
              </w:rPr>
              <w:t>六</w:t>
            </w:r>
            <w:r>
              <w:rPr>
                <w:rFonts w:ascii="宋体" w:hAnsi="宋体" w:eastAsia="宋体" w:hint="eastAsia"/>
              </w:rPr>
              <w:t>章  财务</w:t>
            </w:r>
            <w:r>
              <w:rPr>
                <w:lang w:val="en-US" w:eastAsia="zh-CN"/>
                <w:rFonts w:ascii="宋体" w:hAnsi="宋体" w:eastAsia="宋体" w:hint="eastAsia"/>
              </w:rPr>
              <w:t>预警案例</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ascii="Times New Roman" w:hAnsi="宋体" w:eastAsia="宋体" w:hint="eastAsia"/>
              </w:rPr>
            </w:pPr>
            <w:r>
              <w:rPr>
                <w:lang w:val="en-US" w:eastAsia="zh-CN"/>
                <w:szCs w:val="21"/>
                <w:rFonts w:ascii="Times New Roman" w:hAnsi="宋体" w:eastAsia="宋体" w:hint="eastAsia"/>
              </w:rPr>
              <w:t>6</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hAnsi="宋体" w:eastAsia="宋体" w:hint="default"/>
              </w:rPr>
            </w:pPr>
            <w:r>
              <w:rPr>
                <w:szCs w:val="21"/>
                <w:rFonts w:ascii="宋体" w:hAnsi="宋体" w:eastAsia="宋体" w:cs="宋体" w:hint="eastAsia"/>
              </w:rPr>
              <w:t>布置</w:t>
            </w:r>
            <w:r>
              <w:rPr>
                <w:lang w:val="en-US" w:eastAsia="zh-CN"/>
                <w:szCs w:val="21"/>
                <w:rFonts w:ascii="宋体" w:hAnsi="宋体" w:eastAsia="宋体" w:cs="宋体" w:hint="eastAsia"/>
              </w:rPr>
              <w:t>财务预警案例研究</w:t>
            </w:r>
          </w:p>
        </w:tc>
        <w:tc>
          <w:tcPr>
            <w:tcW w:w="992"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40"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r>
              <w:rPr>
                <w:lang w:val="en-US" w:eastAsia="zh-CN"/>
                <w:szCs w:val="21"/>
                <w:rFonts w:hAnsi="宋体" w:hint="eastAsia"/>
              </w:rPr>
              <w:t>16-1</w:t>
            </w:r>
            <w:r>
              <w:rPr>
                <w:szCs w:val="21"/>
                <w:rFonts w:hAnsi="宋体"/>
              </w:rPr>
              <w:t>7</w:t>
            </w:r>
          </w:p>
        </w:tc>
        <w:tc>
          <w:tcPr>
            <w:tcW w:w="681"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c>
          <w:tcPr>
            <w:tcW w:w="3260" w:type="dxa"/>
            <w:vAlign w:val="center"/>
            <w:tcBorders>
              <w:top w:val="single" w:color="auto" w:sz="4" w:space="0"/>
              <w:left w:val="single" w:color="auto" w:sz="4" w:space="0"/>
              <w:bottom w:val="single" w:color="auto" w:sz="4" w:space="0"/>
              <w:right w:val="single" w:color="auto" w:sz="4" w:space="0"/>
            </w:tcBorders>
          </w:tcPr>
          <w:p>
            <w:pPr>
              <w:jc w:val="center"/>
              <w:rPr>
                <w:rFonts w:ascii="宋体" w:hAnsi="宋体" w:eastAsia="宋体"/>
              </w:rPr>
            </w:pPr>
            <w:r>
              <w:rPr>
                <w:rFonts w:ascii="宋体" w:hAnsi="宋体" w:eastAsia="宋体" w:hint="eastAsia"/>
              </w:rPr>
              <w:t>互动式案例讨论</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lang w:val="en-US" w:eastAsia="zh-CN"/>
                <w:szCs w:val="21"/>
                <w:rFonts w:ascii="Times New Roman" w:hAnsi="宋体" w:eastAsia="宋体" w:hint="eastAsia"/>
              </w:rPr>
            </w:pPr>
            <w:r>
              <w:rPr>
                <w:lang w:val="en-US" w:eastAsia="zh-CN"/>
                <w:szCs w:val="21"/>
                <w:rFonts w:ascii="Times New Roman" w:hAnsi="宋体" w:eastAsia="宋体" w:hint="eastAsia"/>
              </w:rPr>
              <w:t>6</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p>
        </w:tc>
        <w:tc>
          <w:tcPr>
            <w:tcW w:w="992"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28.000000"/>
            <w:right w:type="dxa" w:w="28.000000"/>
          </w:tblCellMar>
        </w:tblPrEx>
        <w:trPr>
          <w:trHeight w:val="540" w:hRule="atLeast"/>
        </w:trPr>
        <w:tc>
          <w:tcPr>
            <w:tcW w:w="732"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r>
              <w:rPr>
                <w:szCs w:val="21"/>
                <w:rFonts w:hAnsi="宋体"/>
              </w:rPr>
              <w:t>18</w:t>
            </w:r>
          </w:p>
        </w:tc>
        <w:tc>
          <w:tcPr>
            <w:tcW w:w="681"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c>
          <w:tcPr>
            <w:tcW w:w="3260" w:type="dxa"/>
            <w:vAlign w:val="center"/>
            <w:tcBorders>
              <w:top w:val="single" w:color="auto" w:sz="4" w:space="0"/>
              <w:left w:val="single" w:color="auto" w:sz="4" w:space="0"/>
              <w:bottom w:val="single" w:color="auto" w:sz="4" w:space="0"/>
              <w:right w:val="single" w:color="auto" w:sz="4" w:space="0"/>
            </w:tcBorders>
          </w:tcPr>
          <w:p>
            <w:pPr>
              <w:jc w:val="center"/>
              <w:rPr>
                <w:rFonts w:ascii="宋体" w:hAnsi="宋体" w:eastAsia="宋体"/>
              </w:rPr>
            </w:pPr>
            <w:r>
              <w:rPr>
                <w:rFonts w:ascii="宋体" w:hAnsi="宋体" w:eastAsia="宋体" w:hint="eastAsia"/>
              </w:rPr>
              <w:t>复习、考试</w:t>
            </w:r>
          </w:p>
        </w:tc>
        <w:tc>
          <w:tcPr>
            <w:tcW w:w="567" w:type="dxa"/>
            <w:vAlign w:val="center"/>
            <w:tcBorders>
              <w:top w:val="single" w:color="auto" w:sz="4" w:space="0"/>
              <w:left w:val="single" w:color="auto" w:sz="4" w:space="0"/>
              <w:bottom w:val="single" w:color="auto" w:sz="4" w:space="0"/>
              <w:right w:val="single" w:color="auto" w:sz="4" w:space="0"/>
            </w:tcBorders>
          </w:tcPr>
          <w:p>
            <w:pPr>
              <w:jc w:val="center"/>
              <w:rPr>
                <w:szCs w:val="21"/>
                <w:rFonts w:ascii="Times New Roman" w:hAnsi="宋体" w:eastAsia="Times New Roman" w:hint="eastAsia"/>
              </w:rPr>
            </w:pPr>
            <w:r>
              <w:rPr>
                <w:szCs w:val="21"/>
                <w:rFonts w:hAnsi="宋体"/>
              </w:rPr>
              <w:t>3</w:t>
            </w:r>
          </w:p>
        </w:tc>
        <w:tc>
          <w:tcPr>
            <w:tcW w:w="1985" w:type="dxa"/>
            <w:vAlign w:val="center"/>
            <w:tcBorders>
              <w:top w:val="single" w:color="auto" w:sz="4" w:space="0"/>
              <w:left w:val="single" w:color="auto" w:sz="4" w:space="0"/>
              <w:bottom w:val="single" w:color="auto" w:sz="4" w:space="0"/>
              <w:right w:val="single" w:color="auto" w:sz="4" w:space="0"/>
            </w:tcBorders>
          </w:tcPr>
          <w:p>
            <w:pPr>
              <w:jc w:val="center"/>
              <w:rPr>
                <w:szCs w:val="21"/>
                <w:rFonts w:hAnsi="宋体"/>
              </w:rPr>
            </w:pPr>
          </w:p>
        </w:tc>
        <w:tc>
          <w:tcPr>
            <w:tcW w:w="992" w:type="dxa"/>
            <w:vAlign w:val="center"/>
            <w:tcBorders>
              <w:top w:val="single" w:color="auto" w:sz="4" w:space="0"/>
              <w:left w:val="single" w:color="auto" w:sz="4" w:space="0"/>
              <w:bottom w:val="single" w:color="auto" w:sz="4" w:space="0"/>
              <w:right w:val="single" w:color="auto" w:sz="4" w:space="0"/>
            </w:tcBorders>
          </w:tcPr>
          <w:p>
            <w:pPr>
              <w:rPr>
                <w:szCs w:val="21"/>
                <w:rFonts w:hAnsi="宋体"/>
              </w:rPr>
            </w:pPr>
          </w:p>
        </w:tc>
      </w:tr>
    </w:tbl>
    <w:p>
      <w:pPr>
        <w:jc w:val="center"/>
        <w:widowControl/>
        <w:spacing w:after="156" w:afterLines="50" w:before="156" w:beforeLines="50" w:lineRule="auto"/>
        <w:rPr>
          <w:szCs w:val="21"/>
          <w:rFonts w:ascii="宋体" w:hAnsi="宋体" w:eastAsia="宋体"/>
        </w:rPr>
      </w:pPr>
    </w:p>
    <w:p>
      <w:pPr>
        <w:jc w:val="center"/>
        <w:widowControl/>
        <w:spacing w:after="156" w:afterLines="50" w:before="156" w:beforeLines="50" w:lineRule="auto"/>
        <w:rPr>
          <w:szCs w:val="21"/>
          <w:rFonts w:ascii="宋体" w:hAnsi="宋体" w:eastAsia="宋体" w:hint="eastAsia"/>
        </w:rPr>
      </w:pPr>
    </w:p>
    <w:p>
      <w:pPr>
        <w:jc w:val="left"/>
        <w:widowControl/>
        <w:spacing w:after="156" w:afterLines="50" w:before="156" w:beforeLines="50" w:lineRule="auto"/>
        <w:ind w:firstLine="562" w:firstLineChars="200"/>
        <w:rPr>
          <w:rFonts w:eastAsia="黑体"/>
        </w:rPr>
      </w:pPr>
      <w:r>
        <w:rPr>
          <w:b w:val="1"/>
          <w:sz w:val="28"/>
          <w:szCs w:val="28"/>
          <w:rFonts w:ascii="黑体" w:hAnsi="黑体" w:eastAsia="黑体" w:hint="eastAsia"/>
        </w:rPr>
        <w:t>六、教材及参考书目</w:t>
      </w:r>
    </w:p>
    <w:p>
      <w:pPr>
        <w:jc w:val="left"/>
        <w:widowControl/>
        <w:spacing w:after="156" w:afterLines="50" w:before="156" w:beforeLines="50" w:lineRule="auto"/>
        <w:rPr>
          <w:rFonts w:ascii="宋体" w:hAnsi="宋体" w:eastAsia="宋体"/>
        </w:rPr>
      </w:pPr>
      <w:r>
        <w:rPr>
          <w:rFonts w:ascii="宋体" w:hAnsi="宋体" w:eastAsia="宋体" w:hint="eastAsia"/>
        </w:rPr>
        <w:t>教材：</w:t>
      </w:r>
    </w:p>
    <w:p>
      <w:pPr>
        <w:jc w:val="left"/>
        <w:widowControl/>
        <w:spacing w:after="156" w:afterLines="50" w:before="156" w:beforeLines="50" w:lineRule="auto"/>
        <w:ind w:firstLine="426" w:firstLineChars="202"/>
        <w:rPr>
          <w:rFonts w:ascii="宋体" w:hAnsi="宋体" w:eastAsia="宋体"/>
        </w:rPr>
      </w:pPr>
      <w:r>
        <w:rPr>
          <w:b w:val="1"/>
          <w:i w:val="1"/>
          <w:lang w:val="en-US" w:eastAsia="zh-CN"/>
          <w:bCs/>
          <w:iCs/>
          <w:rFonts w:ascii="宋体" w:hAnsi="宋体" w:eastAsia="宋体" w:hint="eastAsia"/>
        </w:rPr>
        <w:t>王雪珍、俞雪华</w:t>
      </w:r>
      <w:r>
        <w:rPr>
          <w:b w:val="1"/>
          <w:i w:val="1"/>
          <w:bCs/>
          <w:iCs/>
          <w:rFonts w:ascii="宋体" w:hAnsi="宋体" w:eastAsia="宋体"/>
        </w:rPr>
        <w:t>：</w:t>
      </w:r>
      <w:r>
        <w:rPr>
          <w:rFonts w:ascii="宋体" w:hAnsi="宋体" w:eastAsia="宋体"/>
        </w:rPr>
        <w:t>《财务</w:t>
      </w:r>
      <w:r>
        <w:rPr>
          <w:lang w:val="en-US" w:eastAsia="zh-CN"/>
          <w:rFonts w:ascii="宋体" w:hAnsi="宋体" w:eastAsia="宋体" w:hint="eastAsia"/>
        </w:rPr>
        <w:t>分析与案例研究</w:t>
      </w:r>
      <w:r>
        <w:rPr>
          <w:rFonts w:ascii="宋体" w:hAnsi="宋体" w:eastAsia="宋体"/>
        </w:rPr>
        <w:t>》，</w:t>
      </w:r>
      <w:r>
        <w:rPr>
          <w:lang w:val="en-US" w:eastAsia="zh-CN"/>
          <w:rFonts w:ascii="宋体" w:hAnsi="宋体" w:eastAsia="宋体" w:hint="eastAsia"/>
        </w:rPr>
        <w:t>苏州</w:t>
      </w:r>
      <w:r>
        <w:rPr>
          <w:rFonts w:ascii="宋体" w:hAnsi="宋体" w:eastAsia="宋体"/>
        </w:rPr>
        <w:t>大学出版社，20</w:t>
      </w:r>
      <w:r>
        <w:rPr>
          <w:lang w:val="en-US" w:eastAsia="zh-CN"/>
          <w:rFonts w:ascii="宋体" w:hAnsi="宋体" w:eastAsia="宋体" w:hint="eastAsia"/>
        </w:rPr>
        <w:t>1</w:t>
      </w:r>
      <w:r>
        <w:rPr>
          <w:rFonts w:ascii="宋体" w:hAnsi="宋体" w:eastAsia="宋体"/>
        </w:rPr>
        <w:t>9</w:t>
      </w:r>
    </w:p>
    <w:p>
      <w:pPr>
        <w:jc w:val="left"/>
        <w:widowControl/>
        <w:spacing w:after="156" w:afterLines="50" w:before="156" w:beforeLines="50" w:lineRule="auto"/>
        <w:rPr>
          <w:rFonts w:ascii="宋体" w:hAnsi="宋体" w:eastAsia="宋体"/>
        </w:rPr>
      </w:pPr>
      <w:r>
        <w:rPr>
          <w:rFonts w:ascii="宋体" w:hAnsi="宋体" w:eastAsia="宋体" w:hint="eastAsia"/>
        </w:rPr>
        <w:t>其他材料：</w:t>
      </w:r>
      <w:r>
        <w:rPr>
          <w:rFonts w:ascii="宋体" w:hAnsi="宋体" w:eastAsia="宋体"/>
        </w:rPr>
        <w:t xml:space="preserve"> </w:t>
      </w:r>
    </w:p>
    <w:p>
      <w:pPr>
        <w:jc w:val="left"/>
        <w:widowControl/>
        <w:spacing w:after="156" w:afterLines="50" w:before="156" w:beforeLines="50" w:lineRule="auto"/>
        <w:rPr>
          <w:rFonts w:ascii="宋体" w:hAnsi="宋体" w:eastAsia="宋体"/>
        </w:rPr>
      </w:pPr>
      <w:r>
        <w:rPr>
          <w:rFonts w:ascii="宋体" w:hAnsi="宋体" w:eastAsia="宋体" w:hint="eastAsia"/>
        </w:rPr>
        <w:t>（</w:t>
      </w:r>
      <w:r>
        <w:rPr>
          <w:rFonts w:ascii="宋体" w:hAnsi="宋体" w:eastAsia="宋体"/>
        </w:rPr>
        <w:t>1）主要参考教材：</w:t>
      </w:r>
    </w:p>
    <w:p>
      <w:pPr>
        <w:jc w:val="left"/>
        <w:widowControl/>
        <w:spacing w:after="156" w:afterLines="50" w:before="156" w:beforeLines="50" w:lineRule="auto"/>
        <w:ind w:firstLine="420" w:firstLineChars="200"/>
        <w:rPr>
          <w:rFonts w:ascii="宋体" w:hAnsi="宋体" w:eastAsia="宋体"/>
        </w:rPr>
      </w:pPr>
      <w:r>
        <w:rPr>
          <w:rFonts w:ascii="宋体" w:hAnsi="宋体" w:eastAsia="宋体"/>
        </w:rPr>
        <w:t>1.</w:t>
      </w:r>
      <w:r>
        <w:rPr>
          <w:rFonts w:ascii="宋体" w:hAnsi="宋体" w:eastAsia="宋体" w:hint="eastAsia"/>
        </w:rPr>
        <w:t>王化成等</w:t>
      </w:r>
      <w:r>
        <w:rPr>
          <w:rFonts w:ascii="宋体" w:hAnsi="宋体" w:eastAsia="宋体"/>
        </w:rPr>
        <w:t>,《高级财务管理学》（第4版）,中国人民大学出版社,ISBN：978</w:t>
      </w:r>
      <w:r>
        <w:rPr>
          <w:rFonts w:ascii="宋体" w:hAnsi="宋体" w:eastAsia="宋体" w:hint="eastAsia"/>
        </w:rPr>
        <w:t>-</w:t>
      </w:r>
      <w:r>
        <w:rPr>
          <w:rFonts w:ascii="宋体" w:hAnsi="宋体" w:eastAsia="宋体"/>
        </w:rPr>
        <w:t>7</w:t>
      </w:r>
      <w:r>
        <w:rPr>
          <w:rFonts w:ascii="宋体" w:hAnsi="宋体" w:eastAsia="宋体" w:hint="eastAsia"/>
        </w:rPr>
        <w:t>-</w:t>
      </w:r>
      <w:r>
        <w:rPr>
          <w:rFonts w:ascii="宋体" w:hAnsi="宋体" w:eastAsia="宋体"/>
        </w:rPr>
        <w:t>300</w:t>
      </w:r>
      <w:r>
        <w:rPr>
          <w:rFonts w:ascii="宋体" w:hAnsi="宋体" w:eastAsia="宋体" w:hint="eastAsia"/>
        </w:rPr>
        <w:t>-</w:t>
      </w:r>
      <w:r>
        <w:rPr>
          <w:rFonts w:ascii="宋体" w:hAnsi="宋体" w:eastAsia="宋体"/>
        </w:rPr>
        <w:t>23633</w:t>
      </w:r>
      <w:r>
        <w:rPr>
          <w:rFonts w:ascii="宋体" w:hAnsi="宋体" w:eastAsia="宋体" w:hint="eastAsia"/>
        </w:rPr>
        <w:t>-</w:t>
      </w:r>
      <w:r>
        <w:rPr>
          <w:rFonts w:ascii="宋体" w:hAnsi="宋体" w:eastAsia="宋体"/>
        </w:rPr>
        <w:t xml:space="preserve">9, 2017 </w:t>
      </w:r>
    </w:p>
    <w:p>
      <w:pPr>
        <w:jc w:val="left"/>
        <w:widowControl/>
        <w:spacing w:after="156" w:afterLines="50" w:before="156" w:beforeLines="50" w:lineRule="auto"/>
        <w:ind w:firstLine="424" w:firstLineChars="202"/>
        <w:rPr>
          <w:rFonts w:ascii="宋体" w:hAnsi="宋体" w:eastAsia="宋体"/>
        </w:rPr>
      </w:pPr>
      <w:r>
        <w:rPr>
          <w:rFonts w:ascii="宋体" w:hAnsi="宋体" w:eastAsia="宋体"/>
        </w:rPr>
        <w:t>2.谷祺、王棣华：《高级财务管理》（第2版），东北财经大学出版社，2010</w:t>
      </w:r>
    </w:p>
    <w:p>
      <w:pPr>
        <w:jc w:val="left"/>
        <w:widowControl/>
        <w:spacing w:after="156" w:afterLines="50" w:before="156" w:beforeLines="50" w:lineRule="auto"/>
        <w:ind w:firstLine="424" w:firstLineChars="202"/>
        <w:rPr>
          <w:rFonts w:ascii="宋体" w:hAnsi="宋体" w:eastAsia="宋体"/>
        </w:rPr>
      </w:pPr>
      <w:r>
        <w:rPr>
          <w:rFonts w:ascii="宋体" w:hAnsi="宋体" w:eastAsia="宋体"/>
        </w:rPr>
        <w:t>3.汤谷良、韩慧碑：《高级财务管理学》，清华大学出版社，2010</w:t>
      </w:r>
    </w:p>
    <w:p>
      <w:pPr>
        <w:jc w:val="left"/>
        <w:widowControl/>
        <w:spacing w:after="156" w:afterLines="50" w:before="156" w:beforeLines="50" w:lineRule="auto"/>
        <w:rPr>
          <w:rFonts w:ascii="宋体" w:hAnsi="宋体" w:eastAsia="宋体"/>
        </w:rPr>
      </w:pPr>
      <w:bookmarkStart w:id="0" w:name="_GoBack"/>
      <w:bookmarkEnd w:id="0"/>
      <w:r>
        <w:rPr>
          <w:rFonts w:ascii="宋体" w:hAnsi="宋体" w:eastAsia="宋体" w:hint="eastAsia"/>
        </w:rPr>
        <w:t>（</w:t>
      </w:r>
      <w:r>
        <w:rPr>
          <w:rFonts w:ascii="宋体" w:hAnsi="宋体" w:eastAsia="宋体"/>
        </w:rPr>
        <w:t>2）案例分析材料来源于《哈佛商业评论》（学生可以通过以下链接获取https://hbsp.harvard.edu/import/）和互联网的公开信息，如巨潮资讯网（学生可以通过以下链接获取http://www.cninfo.com.cn/new/index）等。</w:t>
      </w:r>
    </w:p>
    <w:p>
      <w:pPr>
        <w:jc w:val="left"/>
        <w:widowControl/>
        <w:spacing w:after="156" w:afterLines="50" w:before="156" w:beforeLines="50" w:lineRule="auto"/>
        <w:rPr>
          <w:rFonts w:ascii="宋体" w:hAnsi="宋体" w:eastAsia="宋体"/>
        </w:rPr>
      </w:pPr>
      <w:r>
        <w:rPr>
          <w:b w:val="1"/>
          <w:sz w:val="28"/>
          <w:szCs w:val="28"/>
          <w:rFonts w:ascii="黑体" w:hAnsi="黑体" w:eastAsia="黑体" w:hint="eastAsia"/>
        </w:rPr>
        <w:t xml:space="preserve"> 七、教学方法 </w:t>
      </w:r>
    </w:p>
    <w:p>
      <w:pPr>
        <w:jc w:val="left"/>
        <w:widowControl/>
        <w:spacing w:after="156" w:afterLines="50" w:before="156" w:beforeLines="50" w:lineRule="auto"/>
        <w:ind w:firstLine="420" w:firstLineChars="200"/>
        <w:rPr>
          <w:rFonts w:ascii="宋体" w:hAnsi="宋体" w:eastAsia="宋体"/>
        </w:rPr>
      </w:pPr>
      <w:r>
        <w:rPr>
          <w:rFonts w:ascii="宋体" w:hAnsi="宋体" w:eastAsia="宋体" w:hint="eastAsia"/>
        </w:rPr>
        <w:t>1．讲授法：理论讲授，主要教学方法，贯穿教学全过程。</w:t>
      </w:r>
    </w:p>
    <w:p>
      <w:pPr>
        <w:jc w:val="left"/>
        <w:widowControl/>
        <w:spacing w:after="156" w:afterLines="50" w:before="156" w:beforeLines="50" w:lineRule="auto"/>
        <w:ind w:firstLine="420" w:firstLineChars="200"/>
        <w:rPr>
          <w:rFonts w:ascii="宋体" w:hAnsi="宋体" w:eastAsia="宋体"/>
        </w:rPr>
      </w:pPr>
      <w:r>
        <w:rPr>
          <w:rFonts w:ascii="宋体" w:hAnsi="宋体" w:eastAsia="宋体" w:hint="eastAsia"/>
        </w:rPr>
        <w:t>2．讨论法：对本门课程的主要内容，采用问题形式，在师生和学生之间展开讨论。</w:t>
      </w:r>
    </w:p>
    <w:p>
      <w:pPr>
        <w:jc w:val="left"/>
        <w:widowControl/>
        <w:spacing w:after="156" w:afterLines="50" w:before="156" w:beforeLines="50" w:lineRule="auto"/>
        <w:ind w:firstLine="420" w:firstLineChars="200"/>
        <w:rPr>
          <w:rFonts w:ascii="宋体" w:hAnsi="宋体" w:eastAsia="宋体"/>
        </w:rPr>
      </w:pPr>
      <w:r>
        <w:rPr>
          <w:rFonts w:ascii="宋体" w:hAnsi="宋体" w:eastAsia="宋体" w:hint="eastAsia"/>
        </w:rPr>
        <w:t>3. 案例分析法：通过案例解读、案例问题回答，提高学生理论知识运用能力。</w:t>
      </w:r>
    </w:p>
    <w:p>
      <w:pPr>
        <w:jc w:val="left"/>
        <w:widowControl/>
        <w:spacing w:after="156" w:afterLines="50" w:before="156" w:beforeLines="50" w:lineRule="auto"/>
        <w:ind w:firstLine="420" w:firstLineChars="200"/>
        <w:rPr>
          <w:rFonts w:ascii="宋体" w:hAnsi="宋体" w:eastAsia="宋体"/>
        </w:rPr>
      </w:pPr>
      <w:r>
        <w:rPr>
          <w:rFonts w:ascii="宋体" w:hAnsi="宋体" w:eastAsia="宋体" w:hint="eastAsia"/>
        </w:rPr>
        <w:t>4.</w:t>
      </w:r>
      <w:r>
        <w:rPr>
          <w:color w:val="000000"/>
          <w:kern w:val="0"/>
          <w:szCs w:val="21"/>
          <w:rFonts w:ascii="宋体" w:hAnsi="宋体" w:eastAsia="宋体" w:cs="宋体"/>
        </w:rPr>
        <w:t xml:space="preserve"> seminar</w:t>
      </w:r>
      <w:r>
        <w:rPr>
          <w:color w:val="000000"/>
          <w:kern w:val="0"/>
          <w:szCs w:val="21"/>
          <w:rFonts w:ascii="宋体" w:hAnsi="宋体" w:eastAsia="宋体" w:cs="宋体" w:hint="eastAsia"/>
        </w:rPr>
        <w:t>（课堂演讲和演示）：教师布置案例分析任务后，由学生（个人或分小组）完成案例报告，然后在课堂上汇报和演示，其他学生点评，再提问和互动讨论，最后由教师总结点评</w:t>
      </w:r>
      <w:r>
        <w:rPr>
          <w:rFonts w:ascii="宋体" w:hAnsi="宋体" w:eastAsia="宋体" w:hint="eastAsia"/>
        </w:rPr>
        <w:t>。这种方法能够培养学生的文献资料检索能力、写作能力、团队协作和沟通能力，语言表达能力和创新能力等。</w:t>
      </w:r>
    </w:p>
    <w:p>
      <w:pPr>
        <w:jc w:val="left"/>
        <w:widowControl/>
        <w:spacing w:after="156" w:afterLines="50" w:before="156" w:beforeLines="50" w:lineRule="auto"/>
        <w:rPr>
          <w:b w:val="1"/>
          <w:sz w:val="28"/>
          <w:szCs w:val="28"/>
          <w:rFonts w:ascii="黑体" w:hAnsi="黑体" w:eastAsia="黑体"/>
        </w:rPr>
      </w:pPr>
      <w:r>
        <w:rPr>
          <w:rFonts w:ascii="宋体" w:hAnsi="宋体" w:eastAsia="宋体" w:hint="eastAsia"/>
        </w:rPr>
        <w:t xml:space="preserve"> </w:t>
      </w:r>
      <w:r>
        <w:rPr>
          <w:rFonts w:ascii="宋体" w:hAnsi="宋体" w:eastAsia="宋体"/>
        </w:rPr>
        <w:t xml:space="preserve">   </w:t>
      </w:r>
      <w:r>
        <w:rPr>
          <w:b w:val="1"/>
          <w:sz w:val="28"/>
          <w:szCs w:val="28"/>
          <w:rFonts w:ascii="黑体" w:hAnsi="黑体" w:eastAsia="黑体" w:hint="eastAsia"/>
        </w:rPr>
        <w:t xml:space="preserve"> 八</w:t>
      </w:r>
      <w:r>
        <w:rPr>
          <w:b w:val="1"/>
          <w:sz w:val="28"/>
          <w:szCs w:val="28"/>
          <w:rFonts w:ascii="黑体" w:hAnsi="黑体" w:eastAsia="黑体" w:cs="黑体" w:hint="eastAsia"/>
        </w:rPr>
        <w:t>、</w:t>
      </w:r>
      <w:r>
        <w:rPr>
          <w:b w:val="1"/>
          <w:sz w:val="28"/>
          <w:szCs w:val="28"/>
          <w:rFonts w:ascii="黑体" w:hAnsi="黑体" w:eastAsia="黑体" w:hint="eastAsia"/>
        </w:rPr>
        <w:t>考核方式及评定方法</w:t>
      </w:r>
    </w:p>
    <w:p>
      <w:pPr>
        <w:jc w:val="left"/>
        <w:widowControl/>
        <w:spacing w:after="156" w:afterLines="50" w:before="156" w:beforeLines="50" w:lineRule="auto"/>
        <w:ind w:firstLine="482" w:firstLineChars="200"/>
        <w:rPr>
          <w:b w:val="1"/>
          <w:sz w:val="24"/>
          <w:szCs w:val="24"/>
          <w:rFonts w:ascii="黑体" w:hAnsi="黑体" w:eastAsia="黑体"/>
        </w:rPr>
      </w:pPr>
      <w:r>
        <w:rPr>
          <w:b w:val="1"/>
          <w:sz w:val="24"/>
          <w:szCs w:val="24"/>
          <w:rFonts w:ascii="黑体" w:hAnsi="黑体" w:eastAsia="黑体" w:hint="eastAsia"/>
        </w:rPr>
        <w:t xml:space="preserve">（一）课程考核与课程目标的对应关系 </w:t>
      </w:r>
    </w:p>
    <w:p>
      <w:pPr>
        <w:jc w:val="center"/>
        <w:widowControl/>
        <w:spacing w:after="156" w:afterLines="50" w:before="156" w:beforeLines="50" w:lineRule="auto"/>
        <w:rPr>
          <w:szCs w:val="21"/>
          <w:rFonts w:ascii="宋体" w:hAnsi="宋体" w:eastAsia="宋体"/>
        </w:rPr>
      </w:pPr>
      <w:r>
        <w:rPr>
          <w:b w:val="1"/>
          <w:szCs w:val="21"/>
          <w:rFonts w:ascii="宋体" w:hAnsi="宋体" w:eastAsia="宋体" w:hint="eastAsia"/>
        </w:rPr>
        <w:t xml:space="preserve">表4 </w:t>
      </w:r>
      <w:r>
        <w:rPr>
          <w:b w:val="1"/>
          <w:szCs w:val="21"/>
          <w:rFonts w:ascii="宋体" w:hAnsi="宋体" w:eastAsia="宋体"/>
        </w:rPr>
        <w:t xml:space="preserve"> </w:t>
      </w:r>
      <w:r>
        <w:rPr>
          <w:b w:val="1"/>
          <w:szCs w:val="21"/>
          <w:rFonts w:ascii="宋体" w:hAnsi="宋体" w:eastAsia="宋体" w:hint="eastAsia"/>
        </w:rPr>
        <w:t>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2847.000000"/>
        <w:gridCol w:w="2849.000000"/>
        <w:gridCol w:w="284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2847" w:type="dxa"/>
            <w:vAlign w:val="center"/>
          </w:tcPr>
          <w:p>
            <w:pPr>
              <w:pStyle w:val="3"/>
              <w:jc w:val="center"/>
              <w:spacing w:after="156" w:afterLines="50" w:before="156" w:beforeLines="50" w:lineRule="auto"/>
              <w:rPr>
                <w:b w:val="1"/>
                <w:rFonts w:hAnsi="宋体"/>
              </w:rPr>
            </w:pPr>
            <w:r>
              <w:rPr>
                <w:b w:val="1"/>
                <w:rFonts w:hAnsi="宋体" w:hint="eastAsia"/>
              </w:rPr>
              <w:t>课程目标</w:t>
            </w:r>
          </w:p>
        </w:tc>
        <w:tc>
          <w:tcPr>
            <w:tcW w:w="2849" w:type="dxa"/>
            <w:vAlign w:val="center"/>
          </w:tcPr>
          <w:p>
            <w:pPr>
              <w:pStyle w:val="3"/>
              <w:jc w:val="center"/>
              <w:spacing w:after="156" w:afterLines="50" w:before="156" w:beforeLines="50" w:lineRule="auto"/>
              <w:rPr>
                <w:b w:val="1"/>
                <w:rFonts w:hAnsi="宋体"/>
              </w:rPr>
            </w:pPr>
            <w:r>
              <w:rPr>
                <w:b w:val="1"/>
                <w:rFonts w:hAnsi="宋体" w:hint="eastAsia"/>
              </w:rPr>
              <w:t>考核要点</w:t>
            </w:r>
          </w:p>
        </w:tc>
        <w:tc>
          <w:tcPr>
            <w:tcW w:w="2849" w:type="dxa"/>
            <w:vAlign w:val="center"/>
          </w:tcPr>
          <w:p>
            <w:pPr>
              <w:pStyle w:val="3"/>
              <w:jc w:val="center"/>
              <w:spacing w:after="156" w:afterLines="50" w:before="156" w:beforeLines="50" w:lineRule="auto"/>
              <w:rPr>
                <w:b w:val="1"/>
                <w:rFonts w:hAnsi="宋体"/>
              </w:rPr>
            </w:pPr>
            <w:r>
              <w:rPr>
                <w:b w:val="1"/>
                <w:rFonts w:hAnsi="宋体" w:hint="eastAsia"/>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2847" w:type="dxa"/>
            <w:vAlign w:val="center"/>
          </w:tcPr>
          <w:p>
            <w:pPr>
              <w:pStyle w:val="3"/>
              <w:jc w:val="center"/>
              <w:spacing w:after="156" w:afterLines="50" w:before="156" w:beforeLines="50" w:lineRule="auto"/>
              <w:rPr>
                <w:rFonts w:hAnsi="宋体"/>
              </w:rPr>
            </w:pPr>
            <w:r>
              <w:rPr>
                <w:rFonts w:hAnsi="宋体" w:hint="eastAsia"/>
              </w:rPr>
              <w:t>课程目标1</w:t>
            </w:r>
          </w:p>
        </w:tc>
        <w:tc>
          <w:tcPr>
            <w:tcW w:w="2849" w:type="dxa"/>
            <w:vAlign w:val="center"/>
          </w:tcPr>
          <w:p>
            <w:pPr>
              <w:pStyle w:val="3"/>
              <w:spacing w:after="156" w:afterLines="50" w:before="156" w:beforeLines="50" w:lineRule="auto"/>
              <w:rPr>
                <w:b w:val="1"/>
                <w:lang w:val="en-US" w:eastAsia="zh-CN"/>
                <w:rFonts w:hAnsi="宋体" w:eastAsia="宋体" w:hint="default"/>
              </w:rPr>
            </w:pPr>
            <w:r>
              <w:rPr>
                <w:bCs/>
                <w:rFonts w:hAnsi="宋体" w:cs="宋体" w:hint="eastAsia"/>
              </w:rPr>
              <w:t>通过学习</w:t>
            </w:r>
            <w:r>
              <w:rPr>
                <w:lang w:val="en-US" w:eastAsia="zh-CN"/>
                <w:bCs/>
                <w:rFonts w:hAnsi="宋体" w:cs="宋体" w:hint="eastAsia"/>
              </w:rPr>
              <w:t>财务管理案例教学法</w:t>
            </w:r>
            <w:r>
              <w:rPr>
                <w:bCs/>
                <w:rFonts w:hAnsi="宋体" w:cs="宋体" w:hint="eastAsia"/>
              </w:rPr>
              <w:t>以及财务运作在企业中的地位和作用，让学生理解</w:t>
            </w:r>
            <w:r>
              <w:rPr>
                <w:lang w:val="en-US" w:eastAsia="zh-CN"/>
                <w:bCs/>
                <w:rFonts w:hAnsi="宋体" w:cs="宋体" w:hint="eastAsia"/>
              </w:rPr>
              <w:t>案例教学法的作用和步骤</w:t>
            </w:r>
          </w:p>
        </w:tc>
        <w:tc>
          <w:tcPr>
            <w:tcW w:w="2849" w:type="dxa"/>
            <w:vAlign w:val="center"/>
          </w:tcPr>
          <w:p>
            <w:pPr>
              <w:pStyle w:val="3"/>
              <w:jc w:val="center"/>
              <w:rPr>
                <w:color w:val="000000"/>
                <w:szCs w:val="21"/>
                <w:rFonts w:hAnsi="宋体"/>
              </w:rPr>
            </w:pPr>
            <w:r>
              <w:rPr>
                <w:color w:val="000000"/>
                <w:szCs w:val="21"/>
                <w:rFonts w:hAnsi="宋体" w:hint="eastAsia"/>
              </w:rPr>
              <w:t>1.课后作业</w:t>
            </w:r>
          </w:p>
          <w:p>
            <w:pPr>
              <w:pStyle w:val="3"/>
              <w:jc w:val="center"/>
              <w:rPr>
                <w:color w:val="000000"/>
                <w:szCs w:val="21"/>
                <w:rFonts w:hAnsi="宋体"/>
              </w:rPr>
            </w:pPr>
            <w:r>
              <w:rPr>
                <w:color w:val="000000"/>
                <w:szCs w:val="21"/>
                <w:rFonts w:hAnsi="宋体" w:hint="eastAsia"/>
              </w:rPr>
              <w:t>2.</w:t>
            </w:r>
            <w:r>
              <w:rPr>
                <w:color w:val="000000"/>
                <w:szCs w:val="21"/>
                <w:rFonts w:hAnsi="宋体"/>
              </w:rPr>
              <w:t xml:space="preserve">seminar </w:t>
            </w:r>
          </w:p>
          <w:p>
            <w:pPr>
              <w:pStyle w:val="3"/>
              <w:jc w:val="center"/>
              <w:rPr>
                <w:color w:val="000000"/>
                <w:szCs w:val="21"/>
                <w:rFonts w:hAnsi="宋体"/>
              </w:rPr>
            </w:pPr>
            <w:r>
              <w:rPr>
                <w:color w:val="000000"/>
                <w:szCs w:val="21"/>
                <w:rFonts w:hAnsi="宋体" w:hint="eastAsia"/>
              </w:rPr>
              <w:t>3.期末考试</w:t>
            </w:r>
          </w:p>
          <w:p>
            <w:pPr>
              <w:pStyle w:val="3"/>
              <w:jc w:val="center"/>
              <w:rPr>
                <w:color w:val="000000"/>
                <w:szCs w:val="21"/>
                <w:rFonts w:hAnsi="宋体"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2847" w:type="dxa"/>
            <w:vAlign w:val="center"/>
          </w:tcPr>
          <w:p>
            <w:pPr>
              <w:pStyle w:val="3"/>
              <w:jc w:val="center"/>
              <w:spacing w:after="156" w:afterLines="50" w:before="156" w:beforeLines="50" w:lineRule="auto"/>
              <w:rPr>
                <w:rFonts w:hAnsi="宋体"/>
              </w:rPr>
            </w:pPr>
            <w:r>
              <w:rPr>
                <w:rFonts w:hAnsi="宋体" w:hint="eastAsia"/>
              </w:rPr>
              <w:t>课程目标2</w:t>
            </w:r>
          </w:p>
        </w:tc>
        <w:tc>
          <w:tcPr>
            <w:tcW w:w="2849" w:type="dxa"/>
            <w:vAlign w:val="center"/>
          </w:tcPr>
          <w:p>
            <w:pPr>
              <w:rPr>
                <w:b w:val="1"/>
                <w:rFonts w:hAnsi="宋体"/>
              </w:rPr>
            </w:pPr>
            <w:r>
              <w:rPr>
                <w:bCs/>
                <w:szCs w:val="20"/>
                <w:rFonts w:ascii="宋体" w:hAnsi="宋体" w:eastAsia="宋体" w:cs="宋体" w:hint="eastAsia"/>
              </w:rPr>
              <w:t>通过学习财务预算的本质和流程，使得学生理解如何通过全面预算管理参与企业目标制定及其实现路径</w:t>
            </w:r>
          </w:p>
        </w:tc>
        <w:tc>
          <w:tcPr>
            <w:tcW w:w="2849" w:type="dxa"/>
            <w:vAlign w:val="center"/>
          </w:tcPr>
          <w:p>
            <w:pPr>
              <w:pStyle w:val="3"/>
              <w:jc w:val="center"/>
              <w:rPr>
                <w:color w:val="000000"/>
                <w:szCs w:val="21"/>
                <w:rFonts w:hAnsi="宋体"/>
              </w:rPr>
            </w:pPr>
            <w:r>
              <w:rPr>
                <w:color w:val="000000"/>
                <w:szCs w:val="21"/>
                <w:rFonts w:hAnsi="宋体" w:hint="eastAsia"/>
              </w:rPr>
              <w:t>1.课后作业</w:t>
            </w:r>
          </w:p>
          <w:p>
            <w:pPr>
              <w:pStyle w:val="3"/>
              <w:jc w:val="center"/>
              <w:rPr>
                <w:color w:val="000000"/>
                <w:szCs w:val="21"/>
                <w:rFonts w:hAnsi="宋体"/>
              </w:rPr>
            </w:pPr>
            <w:r>
              <w:rPr>
                <w:color w:val="000000"/>
                <w:szCs w:val="21"/>
                <w:rFonts w:hAnsi="宋体" w:hint="eastAsia"/>
              </w:rPr>
              <w:t>2.</w:t>
            </w:r>
            <w:r>
              <w:rPr>
                <w:color w:val="000000"/>
                <w:szCs w:val="21"/>
                <w:rFonts w:hAnsi="宋体"/>
              </w:rPr>
              <w:t xml:space="preserve">seminar </w:t>
            </w:r>
          </w:p>
          <w:p>
            <w:pPr>
              <w:pStyle w:val="3"/>
              <w:jc w:val="center"/>
              <w:rPr>
                <w:color w:val="000000"/>
                <w:szCs w:val="21"/>
                <w:rFonts w:hAnsi="宋体"/>
              </w:rPr>
            </w:pPr>
            <w:r>
              <w:rPr>
                <w:color w:val="000000"/>
                <w:szCs w:val="21"/>
                <w:rFonts w:hAnsi="宋体" w:hint="eastAsia"/>
              </w:rPr>
              <w:t>3.期末考试</w:t>
            </w:r>
          </w:p>
          <w:p>
            <w:pPr>
              <w:pStyle w:val="3"/>
              <w:jc w:val="center"/>
              <w:rPr>
                <w:b w:val="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2847" w:type="dxa"/>
            <w:vAlign w:val="center"/>
          </w:tcPr>
          <w:p>
            <w:pPr>
              <w:pStyle w:val="3"/>
              <w:jc w:val="center"/>
              <w:spacing w:after="156" w:afterLines="50" w:before="156" w:beforeLines="50" w:lineRule="auto"/>
              <w:rPr>
                <w:rFonts w:hAnsi="宋体"/>
              </w:rPr>
            </w:pPr>
            <w:r>
              <w:rPr>
                <w:rFonts w:hAnsi="宋体" w:hint="eastAsia"/>
              </w:rPr>
              <w:t>课程目标3</w:t>
            </w:r>
          </w:p>
        </w:tc>
        <w:tc>
          <w:tcPr>
            <w:tcW w:w="2849" w:type="dxa"/>
            <w:vAlign w:val="center"/>
          </w:tcPr>
          <w:p>
            <w:pPr>
              <w:pStyle w:val="3"/>
              <w:spacing w:after="156" w:afterLines="50" w:before="156" w:beforeLines="50" w:lineRule="auto"/>
              <w:rPr>
                <w:b w:val="1"/>
                <w:rFonts w:hAnsi="宋体"/>
              </w:rPr>
            </w:pPr>
            <w:r>
              <w:rPr>
                <w:bCs/>
                <w:rFonts w:hAnsi="宋体" w:cs="宋体" w:hint="eastAsia"/>
              </w:rPr>
              <w:t>通过学习</w:t>
            </w:r>
            <w:r>
              <w:rPr>
                <w:lang w:val="en-US" w:eastAsia="zh-CN"/>
                <w:bCs/>
                <w:rFonts w:hAnsi="宋体" w:cs="宋体" w:hint="eastAsia"/>
              </w:rPr>
              <w:t>筹资管理案例分析、投资管理案例分析、分配管理案例分析以及财务预警案例分析</w:t>
            </w:r>
            <w:r>
              <w:rPr>
                <w:bCs/>
                <w:rFonts w:hAnsi="宋体" w:cs="宋体" w:hint="eastAsia"/>
              </w:rPr>
              <w:t>，使得学生了解</w:t>
            </w:r>
            <w:r>
              <w:rPr>
                <w:lang w:val="en-US" w:eastAsia="zh-CN"/>
                <w:bCs/>
                <w:rFonts w:hAnsi="宋体" w:cs="宋体" w:hint="eastAsia"/>
              </w:rPr>
              <w:t>财务管理</w:t>
            </w:r>
            <w:r>
              <w:rPr>
                <w:bCs/>
                <w:rFonts w:hAnsi="宋体" w:cs="宋体" w:hint="eastAsia"/>
              </w:rPr>
              <w:t>各种方法及其运用</w:t>
            </w:r>
          </w:p>
        </w:tc>
        <w:tc>
          <w:tcPr>
            <w:tcW w:w="2849" w:type="dxa"/>
            <w:vAlign w:val="center"/>
          </w:tcPr>
          <w:p>
            <w:pPr>
              <w:pStyle w:val="3"/>
              <w:jc w:val="center"/>
              <w:rPr>
                <w:color w:val="000000"/>
                <w:szCs w:val="21"/>
                <w:rFonts w:hAnsi="宋体"/>
              </w:rPr>
            </w:pPr>
            <w:r>
              <w:rPr>
                <w:color w:val="000000"/>
                <w:szCs w:val="21"/>
                <w:rFonts w:hAnsi="宋体" w:hint="eastAsia"/>
              </w:rPr>
              <w:t>1.课后作业</w:t>
            </w:r>
          </w:p>
          <w:p>
            <w:pPr>
              <w:pStyle w:val="3"/>
              <w:jc w:val="center"/>
              <w:rPr>
                <w:color w:val="000000"/>
                <w:szCs w:val="21"/>
                <w:rFonts w:hAnsi="宋体"/>
              </w:rPr>
            </w:pPr>
            <w:r>
              <w:rPr>
                <w:color w:val="000000"/>
                <w:szCs w:val="21"/>
                <w:rFonts w:hAnsi="宋体" w:hint="eastAsia"/>
              </w:rPr>
              <w:t>2.</w:t>
            </w:r>
            <w:r>
              <w:rPr>
                <w:color w:val="000000"/>
                <w:szCs w:val="21"/>
                <w:rFonts w:hAnsi="宋体"/>
              </w:rPr>
              <w:t xml:space="preserve">seminar </w:t>
            </w:r>
          </w:p>
          <w:p>
            <w:pPr>
              <w:pStyle w:val="3"/>
              <w:jc w:val="center"/>
              <w:rPr>
                <w:color w:val="000000"/>
                <w:szCs w:val="21"/>
                <w:rFonts w:hAnsi="宋体"/>
              </w:rPr>
            </w:pPr>
            <w:r>
              <w:rPr>
                <w:color w:val="000000"/>
                <w:szCs w:val="21"/>
                <w:rFonts w:hAnsi="宋体" w:hint="eastAsia"/>
              </w:rPr>
              <w:t>3.期末考试</w:t>
            </w:r>
          </w:p>
          <w:p>
            <w:pPr>
              <w:pStyle w:val="3"/>
              <w:jc w:val="center"/>
              <w:rPr>
                <w:b w:val="1"/>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7" w:hRule="atLeast"/>
          <w:jc w:val="center"/>
        </w:trPr>
        <w:tc>
          <w:tcPr>
            <w:tcW w:w="2847" w:type="dxa"/>
            <w:vAlign w:val="center"/>
          </w:tcPr>
          <w:p>
            <w:pPr>
              <w:pStyle w:val="3"/>
              <w:jc w:val="center"/>
              <w:spacing w:after="156" w:afterLines="50" w:before="156" w:beforeLines="50" w:lineRule="auto"/>
              <w:rPr>
                <w:rFonts w:hAnsi="宋体" w:hint="eastAsia"/>
              </w:rPr>
            </w:pPr>
            <w:r>
              <w:rPr>
                <w:rFonts w:hAnsi="宋体" w:hint="eastAsia"/>
              </w:rPr>
              <w:t>课程目标</w:t>
            </w:r>
            <w:r>
              <w:rPr>
                <w:rFonts w:hAnsi="宋体"/>
              </w:rPr>
              <w:t>4</w:t>
            </w:r>
          </w:p>
        </w:tc>
        <w:tc>
          <w:tcPr>
            <w:tcW w:w="2849" w:type="dxa"/>
            <w:vAlign w:val="center"/>
          </w:tcPr>
          <w:p>
            <w:pPr>
              <w:pStyle w:val="3"/>
              <w:spacing w:after="156" w:afterLines="50" w:before="156" w:beforeLines="50" w:lineRule="auto"/>
              <w:rPr>
                <w:bCs/>
                <w:rFonts w:hAnsi="宋体" w:cs="宋体" w:hint="eastAsia"/>
              </w:rPr>
            </w:pPr>
            <w:r>
              <w:rPr>
                <w:bCs/>
                <w:rFonts w:hAnsi="宋体" w:cs="宋体" w:hint="eastAsia"/>
              </w:rPr>
              <w:t>通过撰写课程论文和案例分析报告以及课堂讨论等培养学生的专业分析工具和方法的运用、写作能力、口头表达能力</w:t>
            </w:r>
          </w:p>
        </w:tc>
        <w:tc>
          <w:tcPr>
            <w:tcW w:w="2849" w:type="dxa"/>
            <w:vAlign w:val="center"/>
          </w:tcPr>
          <w:p>
            <w:pPr>
              <w:pStyle w:val="3"/>
              <w:jc w:val="center"/>
              <w:rPr>
                <w:color w:val="000000"/>
                <w:szCs w:val="21"/>
                <w:rFonts w:hAnsi="宋体"/>
              </w:rPr>
            </w:pPr>
            <w:r>
              <w:rPr>
                <w:color w:val="000000"/>
                <w:szCs w:val="21"/>
                <w:rFonts w:hAnsi="宋体" w:hint="eastAsia"/>
              </w:rPr>
              <w:t>1.课后作业</w:t>
            </w:r>
          </w:p>
          <w:p>
            <w:pPr>
              <w:pStyle w:val="3"/>
              <w:jc w:val="center"/>
              <w:rPr>
                <w:color w:val="000000"/>
                <w:szCs w:val="21"/>
                <w:rFonts w:hAnsi="宋体"/>
              </w:rPr>
            </w:pPr>
            <w:r>
              <w:rPr>
                <w:color w:val="000000"/>
                <w:szCs w:val="21"/>
                <w:rFonts w:hAnsi="宋体" w:hint="eastAsia"/>
              </w:rPr>
              <w:t>2.</w:t>
            </w:r>
            <w:r>
              <w:rPr>
                <w:color w:val="000000"/>
                <w:szCs w:val="21"/>
                <w:rFonts w:hAnsi="宋体"/>
              </w:rPr>
              <w:t xml:space="preserve">seminar </w:t>
            </w:r>
          </w:p>
          <w:p>
            <w:pPr>
              <w:pStyle w:val="3"/>
              <w:jc w:val="center"/>
              <w:rPr>
                <w:color w:val="000000"/>
                <w:szCs w:val="21"/>
                <w:rFonts w:hAnsi="宋体"/>
              </w:rPr>
            </w:pPr>
            <w:r>
              <w:rPr>
                <w:color w:val="000000"/>
                <w:szCs w:val="21"/>
                <w:rFonts w:hAnsi="宋体" w:hint="eastAsia"/>
              </w:rPr>
              <w:t>3.期末考试</w:t>
            </w:r>
          </w:p>
          <w:p>
            <w:pPr>
              <w:pStyle w:val="14"/>
              <w:jc w:val="center"/>
              <w:outlineLvl w:val="0"/>
              <w:spacing w:line="340" w:lineRule="exact"/>
              <w:rPr>
                <w:color w:val="000000"/>
                <w:szCs w:val="21"/>
                <w:rFonts w:ascii="宋体" w:hAnsi="宋体" w:hint="eastAsia"/>
              </w:rPr>
            </w:pPr>
          </w:p>
        </w:tc>
      </w:tr>
    </w:tbl>
    <w:p>
      <w:pPr>
        <w:jc w:val="left"/>
        <w:widowControl/>
        <w:spacing w:after="156" w:afterLines="50" w:before="156" w:beforeLines="50" w:lineRule="auto"/>
        <w:ind w:firstLine="482" w:firstLineChars="200"/>
        <w:rPr>
          <w:b w:val="1"/>
          <w:sz w:val="24"/>
          <w:szCs w:val="24"/>
          <w:rFonts w:ascii="黑体" w:hAnsi="黑体" w:eastAsia="黑体"/>
        </w:rPr>
      </w:pPr>
      <w:r>
        <w:rPr>
          <w:b w:val="1"/>
          <w:sz w:val="24"/>
          <w:szCs w:val="24"/>
          <w:rFonts w:ascii="黑体" w:hAnsi="黑体" w:eastAsia="黑体" w:hint="eastAsia"/>
        </w:rPr>
        <w:t xml:space="preserve">（二）评定方法 </w:t>
      </w:r>
    </w:p>
    <w:p>
      <w:pPr>
        <w:jc w:val="left"/>
        <w:widowControl/>
        <w:spacing w:after="156" w:afterLines="50" w:before="156" w:beforeLines="50" w:lineRule="auto"/>
        <w:ind w:firstLine="422" w:firstLineChars="200"/>
        <w:rPr>
          <w:b w:val="1"/>
          <w:sz w:val="24"/>
          <w:szCs w:val="24"/>
          <w:rFonts w:ascii="黑体" w:hAnsi="黑体" w:eastAsia="黑体"/>
        </w:rPr>
      </w:pPr>
      <w:r>
        <w:rPr>
          <w:b w:val="1"/>
          <w:rFonts w:ascii="宋体" w:hAnsi="宋体" w:eastAsia="宋体" w:hint="eastAsia"/>
        </w:rPr>
        <w:t xml:space="preserve">1．评定方法 </w:t>
      </w:r>
    </w:p>
    <w:p>
      <w:pPr>
        <w:jc w:val="left"/>
        <w:widowControl/>
        <w:spacing w:after="156" w:afterLines="50" w:before="156" w:beforeLines="50" w:lineRule="auto"/>
        <w:ind w:firstLine="420" w:firstLineChars="200"/>
        <w:rPr>
          <w:rFonts w:ascii="宋体" w:hAnsi="宋体" w:eastAsia="宋体"/>
        </w:rPr>
      </w:pPr>
      <w:r>
        <w:rPr>
          <w:rFonts w:ascii="宋体" w:hAnsi="宋体" w:eastAsia="宋体" w:hint="eastAsia"/>
        </w:rPr>
        <w:t>平时成绩（含考勤、课堂表现与作业、案例讨论表现）</w:t>
      </w:r>
      <w:r>
        <w:rPr>
          <w:lang w:val="en-US" w:eastAsia="zh-CN"/>
          <w:rFonts w:ascii="宋体" w:hAnsi="宋体" w:eastAsia="宋体" w:hint="eastAsia"/>
        </w:rPr>
        <w:t>5</w:t>
      </w:r>
      <w:r>
        <w:rPr>
          <w:rFonts w:ascii="宋体" w:hAnsi="宋体" w:eastAsia="宋体" w:hint="eastAsia"/>
        </w:rPr>
        <w:t>0</w:t>
      </w:r>
      <w:r>
        <w:rPr>
          <w:rFonts w:ascii="宋体" w:hAnsi="宋体" w:eastAsia="宋体"/>
        </w:rPr>
        <w:t>%</w:t>
      </w:r>
      <w:r>
        <w:rPr>
          <w:rFonts w:ascii="宋体" w:hAnsi="宋体" w:eastAsia="宋体" w:hint="eastAsia"/>
        </w:rPr>
        <w:t>；期末考试</w:t>
      </w:r>
      <w:r>
        <w:rPr>
          <w:lang w:val="en-US" w:eastAsia="zh-CN"/>
          <w:rFonts w:ascii="宋体" w:hAnsi="宋体" w:eastAsia="宋体" w:hint="eastAsia"/>
        </w:rPr>
        <w:t>5</w:t>
      </w:r>
      <w:r>
        <w:rPr>
          <w:rFonts w:ascii="宋体" w:hAnsi="宋体" w:eastAsia="宋体"/>
        </w:rPr>
        <w:t>0%</w:t>
      </w:r>
      <w:r>
        <w:rPr>
          <w:rFonts w:ascii="宋体" w:hAnsi="宋体" w:eastAsia="宋体" w:hint="eastAsia"/>
        </w:rPr>
        <w:t>，</w:t>
      </w:r>
      <w:r>
        <w:rPr>
          <w:lang w:val="en-US" w:eastAsia="zh-CN"/>
          <w:rFonts w:ascii="宋体" w:hAnsi="宋体" w:eastAsia="宋体" w:hint="eastAsia"/>
        </w:rPr>
        <w:t>闭</w:t>
      </w:r>
      <w:r>
        <w:rPr>
          <w:color w:val="000000"/>
          <w:szCs w:val="21"/>
          <w:rFonts w:ascii="宋体" w:hAnsi="宋体" w:eastAsia="宋体" w:cs="宋体" w:hint="eastAsia"/>
        </w:rPr>
        <w:t>卷。</w:t>
      </w:r>
    </w:p>
    <w:p>
      <w:pPr>
        <w:jc w:val="left"/>
        <w:widowControl/>
        <w:spacing w:after="156" w:afterLines="50" w:before="156" w:beforeLines="50" w:lineRule="auto"/>
        <w:ind w:firstLine="422" w:firstLineChars="200"/>
        <w:rPr>
          <w:rFonts w:ascii="宋体" w:hAnsi="宋体" w:eastAsia="宋体"/>
        </w:rPr>
      </w:pPr>
      <w:r>
        <w:rPr>
          <w:b w:val="1"/>
          <w:rFonts w:ascii="宋体" w:hAnsi="宋体" w:eastAsia="宋体" w:hint="eastAsia"/>
        </w:rPr>
        <w:t xml:space="preserve">2．课程目标的考核占比与达成度分析 </w:t>
      </w:r>
    </w:p>
    <w:p>
      <w:pPr>
        <w:jc w:val="center"/>
        <w:widowControl/>
        <w:spacing w:after="156" w:afterLines="50" w:before="156" w:beforeLines="50" w:lineRule="auto"/>
        <w:ind w:firstLine="422" w:firstLineChars="200"/>
        <w:rPr>
          <w:b w:val="1"/>
          <w:rFonts w:ascii="宋体" w:hAnsi="宋体" w:eastAsia="宋体"/>
        </w:rPr>
      </w:pPr>
      <w:r>
        <w:rPr>
          <w:b w:val="1"/>
          <w:rFonts w:ascii="宋体" w:hAnsi="宋体" w:eastAsia="宋体" w:hint="eastAsia"/>
        </w:rPr>
        <w:t xml:space="preserve">表5 </w:t>
      </w:r>
      <w:r>
        <w:rPr>
          <w:b w:val="1"/>
          <w:rFonts w:ascii="宋体" w:hAnsi="宋体" w:eastAsia="宋体"/>
        </w:rPr>
        <w:t xml:space="preserve"> </w:t>
      </w:r>
      <w:r>
        <w:rPr>
          <w:b w:val="1"/>
          <w:rFonts w:ascii="宋体" w:hAnsi="宋体" w:eastAsia="宋体" w:hint="eastAsia"/>
        </w:rPr>
        <w:t>课程目标的考核占比与达成度分析表</w:t>
      </w:r>
    </w:p>
    <w:tbl>
      <w:tblPr>
        <w:tblStyle w:val="7"/>
        <w:tblW w:w="6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2122.000000"/>
        <w:gridCol w:w="858.000000"/>
        <w:gridCol w:w="1134.000000"/>
        <w:gridCol w:w="2627.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2122" w:type="dxa"/>
            <w:vAlign w:val="center"/>
            <w:tcBorders>
              <w:tl2br w:val="single" w:color="auto" w:sz="4" w:space="0"/>
            </w:tcBorders>
            <w:shd w:val="clear" w:color="auto" w:fill="auto"/>
          </w:tcPr>
          <w:p>
            <w:pPr>
              <w:spacing w:after="156" w:afterLines="50" w:before="156" w:beforeLines="50" w:lineRule="auto"/>
              <w:rPr>
                <w:b w:val="1"/>
                <w:bCs/>
                <w:kern w:val="0"/>
                <w:szCs w:val="21"/>
                <w:rFonts w:ascii="宋体" w:hAnsi="宋体" w:eastAsia="宋体"/>
              </w:rPr>
            </w:pPr>
            <w:r>
              <w:rPr>
                <w:b w:val="1"/>
                <w:bCs/>
                <w:kern w:val="0"/>
                <w:szCs w:val="21"/>
                <w:rFonts w:ascii="宋体" w:hAnsi="宋体" w:eastAsia="宋体" w:hint="eastAsia"/>
              </w:rPr>
              <w:t xml:space="preserve"> </w:t>
            </w:r>
            <w:r>
              <w:rPr>
                <w:b w:val="1"/>
                <w:bCs/>
                <w:kern w:val="0"/>
                <w:szCs w:val="21"/>
                <w:rFonts w:ascii="宋体" w:hAnsi="宋体" w:eastAsia="宋体"/>
              </w:rPr>
              <w:t xml:space="preserve"> </w:t>
            </w:r>
            <w:r>
              <w:rPr>
                <w:b w:val="1"/>
                <w:bCs/>
                <w:kern w:val="0"/>
                <w:szCs w:val="21"/>
                <w:rFonts w:ascii="宋体" w:hAnsi="宋体" w:eastAsia="宋体" w:hint="eastAsia"/>
              </w:rPr>
              <w:t xml:space="preserve"> </w:t>
            </w:r>
            <w:r>
              <w:rPr>
                <w:b w:val="1"/>
                <w:bCs/>
                <w:kern w:val="0"/>
                <w:szCs w:val="21"/>
                <w:rFonts w:ascii="宋体" w:hAnsi="宋体" w:eastAsia="宋体"/>
              </w:rPr>
              <w:t xml:space="preserve">    </w:t>
            </w:r>
            <w:r>
              <w:rPr>
                <w:b w:val="1"/>
                <w:bCs/>
                <w:kern w:val="0"/>
                <w:szCs w:val="21"/>
                <w:rFonts w:ascii="宋体" w:hAnsi="宋体" w:eastAsia="宋体" w:hint="eastAsia"/>
              </w:rPr>
              <w:t>考核占比</w:t>
            </w:r>
          </w:p>
          <w:p>
            <w:pPr>
              <w:spacing w:after="156" w:afterLines="50" w:before="156" w:beforeLines="50" w:lineRule="auto"/>
              <w:ind w:firstLine="105" w:firstLineChars="50"/>
              <w:rPr>
                <w:b w:val="1"/>
                <w:bCs/>
                <w:kern w:val="0"/>
                <w:szCs w:val="21"/>
                <w:rFonts w:ascii="宋体" w:hAnsi="宋体" w:eastAsia="宋体"/>
              </w:rPr>
            </w:pPr>
            <w:r>
              <w:rPr>
                <w:b w:val="1"/>
                <w:bCs/>
                <w:kern w:val="0"/>
                <w:szCs w:val="21"/>
                <w:rFonts w:ascii="宋体" w:hAnsi="宋体" w:eastAsia="宋体" w:hint="eastAsia"/>
              </w:rPr>
              <w:t>课程目标</w:t>
            </w:r>
          </w:p>
        </w:tc>
        <w:tc>
          <w:tcPr>
            <w:tcW w:w="858" w:type="dxa"/>
            <w:vAlign w:val="center"/>
            <w:shd w:val="clear" w:color="auto" w:fill="auto"/>
          </w:tcPr>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rPr>
              <w:t>平时</w:t>
            </w:r>
          </w:p>
        </w:tc>
        <w:tc>
          <w:tcPr>
            <w:tcW w:w="1134" w:type="dxa"/>
            <w:vAlign w:val="center"/>
          </w:tcPr>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rPr>
              <w:t>期末</w:t>
            </w:r>
          </w:p>
        </w:tc>
        <w:tc>
          <w:tcPr>
            <w:tcW w:w="2627" w:type="dxa"/>
            <w:vAlign w:val="center"/>
            <w:shd w:val="clear" w:color="auto" w:fill="auto"/>
          </w:tcPr>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620" w:hRule="atLeast"/>
          <w:jc w:val="center"/>
        </w:trPr>
        <w:tc>
          <w:tcPr>
            <w:tcW w:w="2122" w:type="dxa"/>
            <w:vAlign w:val="center"/>
            <w:shd w:val="clear" w:color="auto" w:fill="auto"/>
          </w:tcPr>
          <w:p>
            <w:pPr>
              <w:jc w:val="center"/>
              <w:spacing w:after="156" w:afterLines="50" w:before="156" w:beforeLines="50" w:lineRule="auto"/>
              <w:rPr>
                <w:kern w:val="0"/>
                <w:szCs w:val="21"/>
                <w:rFonts w:ascii="宋体" w:hAnsi="宋体" w:eastAsia="宋体"/>
              </w:rPr>
            </w:pPr>
            <w:r>
              <w:rPr>
                <w:kern w:val="0"/>
                <w:szCs w:val="21"/>
                <w:rFonts w:ascii="宋体" w:hAnsi="宋体" w:eastAsia="宋体" w:hint="eastAsia"/>
              </w:rPr>
              <w:t>课程目标1</w:t>
            </w:r>
          </w:p>
        </w:tc>
        <w:tc>
          <w:tcPr>
            <w:tcW w:w="858" w:type="dxa"/>
            <w:vAlign w:val="center"/>
            <w:shd w:val="clear" w:color="auto" w:fill="auto"/>
          </w:tcPr>
          <w:p>
            <w:pPr>
              <w:jc w:val="center"/>
              <w:spacing w:after="156" w:afterLines="50" w:before="156" w:beforeLines="50" w:lineRule="auto"/>
              <w:rPr>
                <w:kern w:val="0"/>
                <w:szCs w:val="21"/>
                <w:rFonts w:ascii="宋体" w:hAnsi="宋体" w:eastAsia="宋体"/>
              </w:rPr>
            </w:pPr>
            <w:r>
              <w:rPr>
                <w:lang w:val="en-US" w:eastAsia="zh-CN"/>
                <w:kern w:val="0"/>
                <w:szCs w:val="21"/>
                <w:rFonts w:ascii="宋体" w:hAnsi="宋体" w:eastAsia="宋体" w:hint="eastAsia"/>
              </w:rPr>
              <w:t>5</w:t>
            </w:r>
            <w:r>
              <w:rPr>
                <w:kern w:val="0"/>
                <w:szCs w:val="21"/>
                <w:rFonts w:ascii="宋体" w:hAnsi="宋体" w:eastAsia="宋体"/>
              </w:rPr>
              <w:t>0</w:t>
            </w:r>
          </w:p>
        </w:tc>
        <w:tc>
          <w:tcPr>
            <w:tcW w:w="1134" w:type="dxa"/>
            <w:vAlign w:val="center"/>
          </w:tcPr>
          <w:p>
            <w:pPr>
              <w:jc w:val="center"/>
              <w:spacing w:after="156" w:afterLines="50" w:before="156" w:beforeLines="50" w:lineRule="auto"/>
              <w:rPr>
                <w:kern w:val="0"/>
                <w:szCs w:val="21"/>
                <w:rFonts w:ascii="宋体" w:hAnsi="宋体" w:eastAsia="宋体"/>
              </w:rPr>
            </w:pPr>
            <w:r>
              <w:rPr>
                <w:lang w:val="en-US" w:eastAsia="zh-CN"/>
                <w:kern w:val="0"/>
                <w:szCs w:val="21"/>
                <w:rFonts w:ascii="宋体" w:hAnsi="宋体" w:eastAsia="宋体" w:hint="eastAsia"/>
              </w:rPr>
              <w:t>5</w:t>
            </w:r>
            <w:r>
              <w:rPr>
                <w:kern w:val="0"/>
                <w:szCs w:val="21"/>
                <w:rFonts w:ascii="宋体" w:hAnsi="宋体" w:eastAsia="宋体" w:hint="eastAsia"/>
              </w:rPr>
              <w:t>0</w:t>
            </w:r>
          </w:p>
        </w:tc>
        <w:tc>
          <w:tcPr>
            <w:tcW w:w="2627" w:type="dxa"/>
            <w:vMerge w:val="restart"/>
            <w:vAlign w:val="center"/>
            <w:shd w:val="clear" w:color="auto" w:fill="auto"/>
          </w:tcPr>
          <w:p>
            <w:pPr>
              <w:spacing w:after="156" w:afterLines="50" w:before="156" w:beforeLines="50" w:lineRule="auto"/>
              <w:rPr>
                <w:kern w:val="0"/>
                <w:szCs w:val="21"/>
                <w:rFonts w:ascii="宋体" w:hAnsi="宋体" w:eastAsia="宋体" w:cs="宋体"/>
              </w:rPr>
            </w:pPr>
            <w:r>
              <w:rPr>
                <w:kern w:val="0"/>
                <w:szCs w:val="21"/>
                <w:rFonts w:ascii="宋体" w:hAnsi="宋体" w:eastAsia="宋体" w:cs="宋体" w:hint="eastAsia"/>
              </w:rPr>
              <w:t>总评达成度={0.</w:t>
            </w:r>
            <w:r>
              <w:rPr>
                <w:lang w:val="en-US" w:eastAsia="zh-CN"/>
                <w:kern w:val="0"/>
                <w:szCs w:val="21"/>
                <w:rFonts w:ascii="宋体" w:hAnsi="宋体" w:eastAsia="宋体" w:cs="宋体" w:hint="eastAsia"/>
              </w:rPr>
              <w:t>5</w:t>
            </w:r>
            <w:r>
              <w:rPr>
                <w:kern w:val="0"/>
                <w:szCs w:val="21"/>
                <w:rFonts w:ascii="宋体" w:hAnsi="宋体" w:eastAsia="宋体" w:cs="宋体" w:hint="eastAsia"/>
              </w:rPr>
              <w:t>ｘ平时分目标成绩+0.</w:t>
            </w:r>
            <w:r>
              <w:rPr>
                <w:lang w:val="en-US" w:eastAsia="zh-CN"/>
                <w:kern w:val="0"/>
                <w:szCs w:val="21"/>
                <w:rFonts w:ascii="宋体" w:hAnsi="宋体" w:eastAsia="宋体" w:cs="宋体" w:hint="eastAsia"/>
              </w:rPr>
              <w:t>5</w:t>
            </w:r>
            <w:r>
              <w:rPr>
                <w:kern w:val="0"/>
                <w:szCs w:val="21"/>
                <w:rFonts w:ascii="宋体" w:hAnsi="宋体" w:eastAsia="宋体" w:cs="宋体" w:hint="eastAsia"/>
              </w:rPr>
              <w:t>ｘ期末分目标成绩}/分目标总分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679" w:hRule="atLeast"/>
          <w:jc w:val="center"/>
        </w:trPr>
        <w:tc>
          <w:tcPr>
            <w:tcW w:w="2122" w:type="dxa"/>
            <w:vAlign w:val="center"/>
            <w:shd w:val="clear" w:color="auto" w:fill="auto"/>
          </w:tcPr>
          <w:p>
            <w:pPr>
              <w:jc w:val="center"/>
              <w:spacing w:after="156" w:afterLines="50" w:before="156" w:beforeLines="50" w:lineRule="auto"/>
              <w:rPr>
                <w:kern w:val="0"/>
                <w:szCs w:val="21"/>
                <w:rFonts w:ascii="宋体" w:hAnsi="宋体" w:eastAsia="宋体"/>
              </w:rPr>
            </w:pPr>
            <w:r>
              <w:rPr>
                <w:kern w:val="0"/>
                <w:szCs w:val="21"/>
                <w:rFonts w:ascii="宋体" w:hAnsi="宋体" w:eastAsia="宋体" w:hint="eastAsia"/>
              </w:rPr>
              <w:t>课程目标2</w:t>
            </w:r>
          </w:p>
        </w:tc>
        <w:tc>
          <w:tcPr>
            <w:tcW w:w="858" w:type="dxa"/>
            <w:vAlign w:val="center"/>
            <w:shd w:val="clear" w:color="auto" w:fill="auto"/>
          </w:tcPr>
          <w:p>
            <w:pPr>
              <w:jc w:val="center"/>
              <w:spacing w:after="156" w:afterLines="50" w:before="156" w:beforeLines="50" w:lineRule="auto"/>
              <w:rPr>
                <w:kern w:val="0"/>
                <w:szCs w:val="21"/>
                <w:rFonts w:ascii="宋体" w:hAnsi="宋体" w:eastAsia="宋体"/>
              </w:rPr>
            </w:pPr>
            <w:r>
              <w:rPr>
                <w:lang w:val="en-US" w:eastAsia="zh-CN"/>
                <w:kern w:val="0"/>
                <w:szCs w:val="21"/>
                <w:rFonts w:ascii="宋体" w:hAnsi="宋体" w:eastAsia="宋体" w:hint="eastAsia"/>
              </w:rPr>
              <w:t>5</w:t>
            </w:r>
            <w:r>
              <w:rPr>
                <w:kern w:val="0"/>
                <w:szCs w:val="21"/>
                <w:rFonts w:ascii="宋体" w:hAnsi="宋体" w:eastAsia="宋体"/>
              </w:rPr>
              <w:t>0</w:t>
            </w:r>
          </w:p>
        </w:tc>
        <w:tc>
          <w:tcPr>
            <w:tcW w:w="1134" w:type="dxa"/>
            <w:vAlign w:val="center"/>
          </w:tcPr>
          <w:p>
            <w:pPr>
              <w:jc w:val="center"/>
              <w:spacing w:after="156" w:afterLines="50" w:before="156" w:beforeLines="50" w:lineRule="auto"/>
              <w:rPr>
                <w:kern w:val="0"/>
                <w:szCs w:val="21"/>
                <w:rFonts w:ascii="宋体" w:hAnsi="宋体" w:eastAsia="宋体"/>
              </w:rPr>
            </w:pPr>
            <w:r>
              <w:rPr>
                <w:lang w:val="en-US" w:eastAsia="zh-CN"/>
                <w:kern w:val="0"/>
                <w:szCs w:val="21"/>
                <w:rFonts w:ascii="宋体" w:hAnsi="宋体" w:eastAsia="宋体" w:hint="eastAsia"/>
              </w:rPr>
              <w:t>5</w:t>
            </w:r>
            <w:r>
              <w:rPr>
                <w:kern w:val="0"/>
                <w:szCs w:val="21"/>
                <w:rFonts w:ascii="宋体" w:hAnsi="宋体" w:eastAsia="宋体" w:hint="eastAsia"/>
              </w:rPr>
              <w:t>0</w:t>
            </w:r>
          </w:p>
        </w:tc>
        <w:tc>
          <w:tcPr>
            <w:tcW w:w="2627" w:type="dxa"/>
            <w:vMerge w:val="continue"/>
            <w:vAlign w:val="center"/>
            <w:shd w:val="clear" w:color="auto" w:fill="auto"/>
          </w:tcPr>
          <w:p>
            <w:pPr>
              <w:spacing w:after="156" w:afterLines="50" w:before="156" w:beforeLines="50" w:lineRule="auto"/>
              <w:rPr>
                <w:kern w:val="0"/>
                <w:szCs w:val="21"/>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55" w:hRule="atLeast"/>
          <w:jc w:val="center"/>
        </w:trPr>
        <w:tc>
          <w:tcPr>
            <w:tcW w:w="2122" w:type="dxa"/>
            <w:vAlign w:val="center"/>
            <w:shd w:val="clear" w:color="auto" w:fill="auto"/>
          </w:tcPr>
          <w:p>
            <w:pPr>
              <w:jc w:val="center"/>
              <w:spacing w:after="156" w:afterLines="50" w:before="156" w:beforeLines="50" w:lineRule="auto"/>
              <w:rPr>
                <w:kern w:val="0"/>
                <w:szCs w:val="21"/>
                <w:rFonts w:ascii="宋体" w:hAnsi="宋体" w:eastAsia="宋体"/>
              </w:rPr>
            </w:pPr>
            <w:r>
              <w:rPr>
                <w:kern w:val="0"/>
                <w:szCs w:val="21"/>
                <w:rFonts w:ascii="宋体" w:hAnsi="宋体" w:eastAsia="宋体" w:hint="eastAsia"/>
              </w:rPr>
              <w:t>课程目标3</w:t>
            </w:r>
          </w:p>
        </w:tc>
        <w:tc>
          <w:tcPr>
            <w:tcW w:w="858" w:type="dxa"/>
            <w:vAlign w:val="center"/>
            <w:shd w:val="clear" w:color="auto" w:fill="auto"/>
          </w:tcPr>
          <w:p>
            <w:pPr>
              <w:jc w:val="center"/>
              <w:spacing w:after="156" w:afterLines="50" w:before="156" w:beforeLines="50" w:lineRule="auto"/>
              <w:rPr>
                <w:kern w:val="0"/>
                <w:szCs w:val="21"/>
                <w:rFonts w:ascii="宋体" w:hAnsi="宋体" w:eastAsia="宋体"/>
              </w:rPr>
            </w:pPr>
            <w:r>
              <w:rPr>
                <w:lang w:val="en-US" w:eastAsia="zh-CN"/>
                <w:kern w:val="0"/>
                <w:szCs w:val="21"/>
                <w:rFonts w:ascii="宋体" w:hAnsi="宋体" w:eastAsia="宋体" w:hint="eastAsia"/>
              </w:rPr>
              <w:t>5</w:t>
            </w:r>
            <w:r>
              <w:rPr>
                <w:kern w:val="0"/>
                <w:szCs w:val="21"/>
                <w:rFonts w:ascii="宋体" w:hAnsi="宋体" w:eastAsia="宋体"/>
              </w:rPr>
              <w:t>0</w:t>
            </w:r>
          </w:p>
        </w:tc>
        <w:tc>
          <w:tcPr>
            <w:tcW w:w="1134" w:type="dxa"/>
            <w:vAlign w:val="center"/>
          </w:tcPr>
          <w:p>
            <w:pPr>
              <w:jc w:val="center"/>
              <w:spacing w:after="156" w:afterLines="50" w:before="156" w:beforeLines="50" w:lineRule="auto"/>
              <w:rPr>
                <w:kern w:val="0"/>
                <w:szCs w:val="21"/>
                <w:rFonts w:ascii="宋体" w:hAnsi="宋体" w:eastAsia="宋体"/>
              </w:rPr>
            </w:pPr>
            <w:r>
              <w:rPr>
                <w:lang w:val="en-US" w:eastAsia="zh-CN"/>
                <w:kern w:val="0"/>
                <w:szCs w:val="21"/>
                <w:rFonts w:ascii="宋体" w:hAnsi="宋体" w:eastAsia="宋体" w:hint="eastAsia"/>
              </w:rPr>
              <w:t>5</w:t>
            </w:r>
            <w:r>
              <w:rPr>
                <w:kern w:val="0"/>
                <w:szCs w:val="21"/>
                <w:rFonts w:ascii="宋体" w:hAnsi="宋体" w:eastAsia="宋体"/>
              </w:rPr>
              <w:t>0</w:t>
            </w:r>
          </w:p>
        </w:tc>
        <w:tc>
          <w:tcPr>
            <w:tcW w:w="2627" w:type="dxa"/>
            <w:vMerge w:val="continue"/>
            <w:vAlign w:val="center"/>
            <w:shd w:val="clear" w:color="auto" w:fill="auto"/>
          </w:tcPr>
          <w:p>
            <w:pPr>
              <w:spacing w:after="156" w:afterLines="50" w:before="156" w:beforeLines="50" w:lineRule="auto"/>
              <w:rPr>
                <w:kern w:val="0"/>
                <w:szCs w:val="21"/>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55" w:hRule="atLeast"/>
          <w:jc w:val="center"/>
        </w:trPr>
        <w:tc>
          <w:tcPr>
            <w:tcW w:w="2122" w:type="dxa"/>
            <w:vAlign w:val="center"/>
            <w:shd w:val="clear" w:color="auto" w:fill="auto"/>
          </w:tcPr>
          <w:p>
            <w:pPr>
              <w:jc w:val="center"/>
              <w:spacing w:after="156" w:afterLines="50" w:before="156" w:beforeLines="50" w:lineRule="auto"/>
              <w:rPr>
                <w:kern w:val="0"/>
                <w:szCs w:val="21"/>
                <w:rFonts w:ascii="宋体" w:hAnsi="宋体" w:eastAsia="宋体" w:hint="eastAsia"/>
              </w:rPr>
            </w:pPr>
            <w:r>
              <w:rPr>
                <w:kern w:val="0"/>
                <w:szCs w:val="21"/>
                <w:rFonts w:ascii="宋体" w:hAnsi="宋体" w:eastAsia="宋体" w:hint="eastAsia"/>
              </w:rPr>
              <w:t>课程目标</w:t>
            </w:r>
            <w:r>
              <w:rPr>
                <w:kern w:val="0"/>
                <w:szCs w:val="21"/>
                <w:rFonts w:ascii="宋体" w:hAnsi="宋体" w:eastAsia="宋体"/>
              </w:rPr>
              <w:t>4</w:t>
            </w:r>
          </w:p>
        </w:tc>
        <w:tc>
          <w:tcPr>
            <w:tcW w:w="858" w:type="dxa"/>
            <w:vAlign w:val="center"/>
            <w:shd w:val="clear" w:color="auto" w:fill="auto"/>
          </w:tcPr>
          <w:p>
            <w:pPr>
              <w:jc w:val="center"/>
              <w:spacing w:after="156" w:afterLines="50" w:before="156" w:beforeLines="50" w:lineRule="auto"/>
              <w:rPr>
                <w:kern w:val="0"/>
                <w:szCs w:val="21"/>
                <w:rFonts w:ascii="宋体" w:hAnsi="宋体" w:eastAsia="宋体" w:hint="eastAsia"/>
              </w:rPr>
            </w:pPr>
            <w:r>
              <w:rPr>
                <w:lang w:val="en-US" w:eastAsia="zh-CN"/>
                <w:kern w:val="0"/>
                <w:szCs w:val="21"/>
                <w:rFonts w:ascii="宋体" w:hAnsi="宋体" w:eastAsia="宋体" w:hint="eastAsia"/>
              </w:rPr>
              <w:t>5</w:t>
            </w:r>
            <w:r>
              <w:rPr>
                <w:kern w:val="0"/>
                <w:szCs w:val="21"/>
                <w:rFonts w:ascii="宋体" w:hAnsi="宋体" w:eastAsia="宋体"/>
              </w:rPr>
              <w:t>0</w:t>
            </w:r>
          </w:p>
        </w:tc>
        <w:tc>
          <w:tcPr>
            <w:tcW w:w="1134" w:type="dxa"/>
            <w:vAlign w:val="center"/>
          </w:tcPr>
          <w:p>
            <w:pPr>
              <w:jc w:val="center"/>
              <w:spacing w:after="156" w:afterLines="50" w:before="156" w:beforeLines="50" w:lineRule="auto"/>
              <w:rPr>
                <w:kern w:val="0"/>
                <w:szCs w:val="21"/>
                <w:rFonts w:ascii="宋体" w:hAnsi="宋体" w:eastAsia="宋体" w:hint="eastAsia"/>
              </w:rPr>
            </w:pPr>
            <w:r>
              <w:rPr>
                <w:lang w:val="en-US" w:eastAsia="zh-CN"/>
                <w:kern w:val="0"/>
                <w:szCs w:val="21"/>
                <w:rFonts w:ascii="宋体" w:hAnsi="宋体" w:eastAsia="宋体" w:hint="eastAsia"/>
              </w:rPr>
              <w:t>5</w:t>
            </w:r>
            <w:r>
              <w:rPr>
                <w:kern w:val="0"/>
                <w:szCs w:val="21"/>
                <w:rFonts w:ascii="宋体" w:hAnsi="宋体" w:eastAsia="宋体"/>
              </w:rPr>
              <w:t>0</w:t>
            </w:r>
          </w:p>
        </w:tc>
        <w:tc>
          <w:tcPr>
            <w:tcW w:w="2627" w:type="dxa"/>
            <w:vMerge w:val="continue"/>
            <w:vAlign w:val="center"/>
            <w:shd w:val="clear" w:color="auto" w:fill="auto"/>
          </w:tcPr>
          <w:p>
            <w:pPr>
              <w:spacing w:after="156" w:afterLines="50" w:before="156" w:beforeLines="50" w:lineRule="auto"/>
              <w:rPr>
                <w:kern w:val="0"/>
                <w:szCs w:val="21"/>
                <w:rFonts w:ascii="宋体" w:hAnsi="宋体" w:eastAsia="宋体"/>
              </w:rPr>
            </w:pPr>
          </w:p>
        </w:tc>
      </w:tr>
    </w:tbl>
    <w:p>
      <w:pPr>
        <w:jc w:val="left"/>
        <w:widowControl/>
        <w:spacing w:after="156" w:afterLines="50" w:before="156" w:beforeLines="50" w:lineRule="auto"/>
        <w:ind w:firstLine="482" w:firstLineChars="200"/>
        <w:rPr>
          <w:b w:val="1"/>
          <w:sz w:val="24"/>
          <w:szCs w:val="24"/>
          <w:rFonts w:ascii="黑体" w:hAnsi="黑体" w:eastAsia="黑体"/>
        </w:rPr>
      </w:pPr>
      <w:r>
        <w:rPr>
          <w:b w:val="1"/>
          <w:sz w:val="24"/>
          <w:szCs w:val="24"/>
          <w:rFonts w:ascii="黑体" w:hAnsi="黑体" w:eastAsia="黑体" w:hint="eastAsia"/>
        </w:rPr>
        <w:t xml:space="preserve">（三）评分标准 </w:t>
      </w:r>
    </w:p>
    <w:p>
      <w:pPr>
        <w:jc w:val="center"/>
        <w:widowControl/>
        <w:spacing w:after="156" w:afterLines="50" w:before="156" w:beforeLines="50" w:lineRule="auto"/>
        <w:ind w:firstLine="422" w:firstLineChars="200"/>
        <w:rPr>
          <w:b w:val="1"/>
          <w:rFonts w:ascii="宋体" w:hAnsi="宋体" w:eastAsia="宋体"/>
        </w:rPr>
      </w:pPr>
      <w:r>
        <w:rPr>
          <w:b w:val="1"/>
          <w:rFonts w:ascii="宋体" w:hAnsi="宋体" w:eastAsia="宋体" w:hint="eastAsia"/>
        </w:rPr>
        <w:t>表</w:t>
      </w:r>
      <w:r>
        <w:rPr>
          <w:b w:val="1"/>
          <w:rFonts w:ascii="宋体" w:hAnsi="宋体" w:eastAsia="宋体"/>
        </w:rPr>
        <w:t>6</w:t>
      </w:r>
      <w:r>
        <w:rPr>
          <w:b w:val="1"/>
          <w:rFonts w:ascii="宋体" w:hAnsi="宋体" w:eastAsia="宋体" w:hint="eastAsia"/>
        </w:rPr>
        <w:t xml:space="preserve"> </w:t>
      </w:r>
      <w:r>
        <w:rPr>
          <w:b w:val="1"/>
          <w:rFonts w:ascii="宋体" w:hAnsi="宋体" w:eastAsia="宋体"/>
        </w:rPr>
        <w:t xml:space="preserve"> </w:t>
      </w:r>
      <w:r>
        <w:rPr>
          <w:b w:val="1"/>
          <w:rFonts w:ascii="宋体" w:hAnsi="宋体" w:eastAsia="宋体" w:hint="eastAsia"/>
        </w:rPr>
        <w:t>课程目标的评分标准</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993.000000"/>
        <w:gridCol w:w="1984.000000"/>
        <w:gridCol w:w="1984.000000"/>
        <w:gridCol w:w="1843.000000"/>
        <w:gridCol w:w="1779.000000"/>
        <w:gridCol w:w="177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54" w:hRule="atLeast"/>
          <w:tblHeader/>
          <w:jc w:val="center"/>
        </w:trPr>
        <w:tc>
          <w:tcPr>
            <w:tcW w:w="993" w:type="dxa"/>
            <w:vMerge w:val="restart"/>
            <w:vAlign w:val="center"/>
            <w:tcBorders>
              <w:top w:val="single" w:color="auto" w:sz="4" w:space="0"/>
              <w:left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课程</w:t>
            </w:r>
          </w:p>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目标</w:t>
            </w:r>
          </w:p>
        </w:tc>
        <w:tc>
          <w:tcPr>
            <w:tcW w:w="9369" w:type="dxa"/>
            <w:gridSpan w:val="5"/>
            <w:tcBorders>
              <w:top w:val="single" w:color="auto" w:sz="4" w:space="0"/>
              <w:left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54" w:hRule="atLeast"/>
          <w:tblHeader/>
          <w:jc w:val="center"/>
        </w:trPr>
        <w:tc>
          <w:tcPr>
            <w:tcW w:w="993" w:type="dxa"/>
            <w:vMerge w:val="continue"/>
            <w:vAlign w:val="center"/>
            <w:tcBorders>
              <w:left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p>
        </w:tc>
        <w:tc>
          <w:tcPr>
            <w:tcW w:w="1984"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90-100</w:t>
            </w:r>
          </w:p>
        </w:tc>
        <w:tc>
          <w:tcPr>
            <w:tcW w:w="1984"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80-89</w:t>
            </w:r>
          </w:p>
        </w:tc>
        <w:tc>
          <w:tcPr>
            <w:tcW w:w="1843"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70-79</w:t>
            </w:r>
          </w:p>
        </w:tc>
        <w:tc>
          <w:tcPr>
            <w:tcW w:w="1779"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60-69</w:t>
            </w:r>
          </w:p>
        </w:tc>
        <w:tc>
          <w:tcPr>
            <w:tcW w:w="1779"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hint="eastAsia"/>
              </w:rPr>
              <w:t>＜6</w:t>
            </w:r>
            <w:r>
              <w:rPr>
                <w:b w:val="1"/>
                <w:bCs/>
                <w:szCs w:val="21"/>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49" w:hRule="atLeast"/>
          <w:tblHeader/>
          <w:jc w:val="center"/>
        </w:trPr>
        <w:tc>
          <w:tcPr>
            <w:tcW w:w="993" w:type="dxa"/>
            <w:vMerge w:val="continue"/>
            <w:vAlign w:val="center"/>
            <w:tcBorders>
              <w:left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p>
        </w:tc>
        <w:tc>
          <w:tcPr>
            <w:tcW w:w="1984"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优</w:t>
            </w:r>
          </w:p>
        </w:tc>
        <w:tc>
          <w:tcPr>
            <w:tcW w:w="1984"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良</w:t>
            </w:r>
          </w:p>
        </w:tc>
        <w:tc>
          <w:tcPr>
            <w:tcW w:w="1843"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rPr>
              <w:t>中</w:t>
            </w:r>
          </w:p>
        </w:tc>
        <w:tc>
          <w:tcPr>
            <w:tcW w:w="1779"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hint="eastAsia"/>
              </w:rPr>
              <w:t>合格</w:t>
            </w:r>
          </w:p>
        </w:tc>
        <w:tc>
          <w:tcPr>
            <w:tcW w:w="1779" w:type="dxa"/>
            <w:vAlign w:val="center"/>
            <w:tcBorders>
              <w:top w:val="single" w:color="auto" w:sz="4" w:space="0"/>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r>
              <w:rPr>
                <w:b w:val="1"/>
                <w:bCs/>
                <w:szCs w:val="21"/>
                <w:rFonts w:ascii="宋体" w:hAnsi="宋体" w:eastAsia="宋体"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61" w:hRule="atLeast"/>
          <w:tblHeader/>
          <w:jc w:val="center"/>
        </w:trPr>
        <w:tc>
          <w:tcPr>
            <w:tcW w:w="993" w:type="dxa"/>
            <w:vMerge w:val="continue"/>
            <w:vAlign w:val="center"/>
            <w:tcBorders>
              <w:left w:val="single" w:color="auto" w:sz="4" w:space="0"/>
              <w:bottom w:val="single" w:color="auto" w:sz="4" w:space="0"/>
              <w:right w:val="single" w:color="auto" w:sz="4" w:space="0"/>
            </w:tcBorders>
          </w:tcPr>
          <w:p>
            <w:pPr>
              <w:jc w:val="center"/>
              <w:widowControl/>
              <w:spacing w:after="156" w:afterLines="50" w:before="156" w:beforeLines="50" w:lineRule="auto"/>
              <w:rPr>
                <w:b w:val="1"/>
                <w:bCs/>
                <w:szCs w:val="21"/>
                <w:rFonts w:ascii="宋体" w:hAnsi="宋体" w:eastAsia="宋体"/>
              </w:rPr>
            </w:pPr>
          </w:p>
        </w:tc>
        <w:tc>
          <w:tcPr>
            <w:tcW w:w="1984"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szCs w:val="21"/>
                <w:rFonts w:ascii="宋体" w:hAnsi="宋体" w:eastAsia="宋体"/>
              </w:rPr>
            </w:pPr>
            <w:r>
              <w:rPr>
                <w:b w:val="1"/>
                <w:bCs/>
                <w:szCs w:val="21"/>
                <w:rFonts w:ascii="宋体" w:hAnsi="宋体" w:eastAsia="宋体" w:hint="eastAsia"/>
              </w:rPr>
              <w:t>A</w:t>
            </w:r>
          </w:p>
        </w:tc>
        <w:tc>
          <w:tcPr>
            <w:tcW w:w="1984"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szCs w:val="21"/>
                <w:rFonts w:ascii="宋体" w:hAnsi="宋体" w:eastAsia="宋体"/>
              </w:rPr>
            </w:pPr>
            <w:r>
              <w:rPr>
                <w:b w:val="1"/>
                <w:bCs/>
                <w:szCs w:val="21"/>
                <w:rFonts w:ascii="宋体" w:hAnsi="宋体" w:eastAsia="宋体" w:hint="eastAsia"/>
              </w:rPr>
              <w:t>B</w:t>
            </w:r>
          </w:p>
        </w:tc>
        <w:tc>
          <w:tcPr>
            <w:tcW w:w="1843"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szCs w:val="21"/>
                <w:rFonts w:ascii="宋体" w:hAnsi="宋体" w:eastAsia="宋体"/>
              </w:rPr>
            </w:pPr>
            <w:r>
              <w:rPr>
                <w:b w:val="1"/>
                <w:bCs/>
                <w:szCs w:val="21"/>
                <w:rFonts w:ascii="宋体" w:hAnsi="宋体" w:eastAsia="宋体" w:hint="eastAsia"/>
              </w:rPr>
              <w:t>C</w:t>
            </w:r>
          </w:p>
        </w:tc>
        <w:tc>
          <w:tcPr>
            <w:tcW w:w="1779"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szCs w:val="21"/>
                <w:rFonts w:ascii="宋体" w:hAnsi="宋体" w:eastAsia="宋体"/>
              </w:rPr>
            </w:pPr>
            <w:r>
              <w:rPr>
                <w:b w:val="1"/>
                <w:bCs/>
                <w:szCs w:val="21"/>
                <w:rFonts w:ascii="宋体" w:hAnsi="宋体" w:eastAsia="宋体" w:hint="eastAsia"/>
              </w:rPr>
              <w:t>D</w:t>
            </w:r>
          </w:p>
        </w:tc>
        <w:tc>
          <w:tcPr>
            <w:tcW w:w="1779"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szCs w:val="21"/>
                <w:rFonts w:ascii="宋体" w:hAnsi="宋体" w:eastAsia="宋体"/>
              </w:rPr>
            </w:pPr>
            <w:r>
              <w:rPr>
                <w:b w:val="1"/>
                <w:bCs/>
                <w:szCs w:val="21"/>
                <w:rFonts w:ascii="宋体" w:hAnsi="宋体" w:eastAsia="宋体" w:hint="eastAsia"/>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14" w:hRule="atLeast"/>
          <w:jc w:val="center"/>
        </w:trPr>
        <w:tc>
          <w:tcPr>
            <w:tcW w:w="993"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hint="eastAsia"/>
              </w:rPr>
              <w:t>课程</w:t>
            </w:r>
          </w:p>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rPr>
              <w:t>目标1</w:t>
            </w:r>
          </w:p>
        </w:tc>
        <w:tc>
          <w:tcPr>
            <w:tcW w:w="1984"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能够很好地全面准确地掌握财务管理的</w:t>
            </w:r>
            <w:r>
              <w:rPr>
                <w:lang w:val="en-US" w:eastAsia="zh-CN"/>
                <w:szCs w:val="21"/>
                <w:rFonts w:ascii="宋体" w:hAnsi="宋体" w:eastAsia="宋体" w:hint="eastAsia"/>
              </w:rPr>
              <w:t>案例研究</w:t>
            </w:r>
            <w:r>
              <w:rPr>
                <w:szCs w:val="21"/>
                <w:rFonts w:ascii="宋体" w:hAnsi="宋体" w:eastAsia="宋体" w:hint="eastAsia"/>
              </w:rPr>
              <w:t>内涵、内容、理念和方法并能够很好地加以运用</w:t>
            </w:r>
          </w:p>
        </w:tc>
        <w:tc>
          <w:tcPr>
            <w:tcW w:w="1984"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比较全面、准确地掌握财务管理</w:t>
            </w:r>
            <w:r>
              <w:rPr>
                <w:lang w:val="en-US" w:eastAsia="zh-CN"/>
                <w:szCs w:val="21"/>
                <w:rFonts w:ascii="宋体" w:hAnsi="宋体" w:eastAsia="宋体" w:hint="eastAsia"/>
              </w:rPr>
              <w:t>案例研究</w:t>
            </w:r>
            <w:r>
              <w:rPr>
                <w:szCs w:val="21"/>
                <w:rFonts w:ascii="宋体" w:hAnsi="宋体" w:eastAsia="宋体" w:hint="eastAsia"/>
              </w:rPr>
              <w:t>的内涵、内容、理念和方法并能够较好地加以运用</w:t>
            </w:r>
          </w:p>
        </w:tc>
        <w:tc>
          <w:tcPr>
            <w:tcW w:w="1843"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能够掌握财务管理</w:t>
            </w:r>
            <w:r>
              <w:rPr>
                <w:lang w:val="en-US" w:eastAsia="zh-CN"/>
                <w:szCs w:val="21"/>
                <w:rFonts w:ascii="宋体" w:hAnsi="宋体" w:eastAsia="宋体" w:hint="eastAsia"/>
              </w:rPr>
              <w:t>案例研究</w:t>
            </w:r>
            <w:r>
              <w:rPr>
                <w:szCs w:val="21"/>
                <w:rFonts w:ascii="宋体" w:hAnsi="宋体" w:eastAsia="宋体" w:hint="eastAsia"/>
              </w:rPr>
              <w:t>的内涵、内容、理念和方法并基本能够加以运用</w:t>
            </w:r>
          </w:p>
        </w:tc>
        <w:tc>
          <w:tcPr>
            <w:tcW w:w="1779"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基本掌握财务管理</w:t>
            </w:r>
            <w:r>
              <w:rPr>
                <w:lang w:val="en-US" w:eastAsia="zh-CN"/>
                <w:szCs w:val="21"/>
                <w:rFonts w:ascii="宋体" w:hAnsi="宋体" w:eastAsia="宋体" w:hint="eastAsia"/>
              </w:rPr>
              <w:t>案例研究</w:t>
            </w:r>
            <w:r>
              <w:rPr>
                <w:szCs w:val="21"/>
                <w:rFonts w:ascii="宋体" w:hAnsi="宋体" w:eastAsia="宋体" w:hint="eastAsia"/>
              </w:rPr>
              <w:t>的内涵、内容、理念和方法并基本了解如何以运用</w:t>
            </w:r>
          </w:p>
        </w:tc>
        <w:tc>
          <w:tcPr>
            <w:tcW w:w="1779"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对财务管理</w:t>
            </w:r>
            <w:r>
              <w:rPr>
                <w:lang w:val="en-US" w:eastAsia="zh-CN"/>
                <w:szCs w:val="21"/>
                <w:rFonts w:ascii="宋体" w:hAnsi="宋体" w:eastAsia="宋体" w:hint="eastAsia"/>
              </w:rPr>
              <w:t>案例研究</w:t>
            </w:r>
            <w:r>
              <w:rPr>
                <w:szCs w:val="21"/>
                <w:rFonts w:ascii="宋体" w:hAnsi="宋体" w:eastAsia="宋体" w:hint="eastAsia"/>
              </w:rPr>
              <w:t>的内涵、内容、理念和方法的掌握一般，运用不够确切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14" w:hRule="atLeast"/>
          <w:jc w:val="center"/>
        </w:trPr>
        <w:tc>
          <w:tcPr>
            <w:tcW w:w="993"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hint="eastAsia"/>
              </w:rPr>
              <w:t>课程</w:t>
            </w:r>
          </w:p>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rPr>
              <w:t>目标2</w:t>
            </w:r>
          </w:p>
        </w:tc>
        <w:tc>
          <w:tcPr>
            <w:tcW w:w="1984"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能够很好地全面准确地掌握财务预算的内涵、内容、理念和分析工具及方法并能够很好地加以运用</w:t>
            </w:r>
          </w:p>
        </w:tc>
        <w:tc>
          <w:tcPr>
            <w:tcW w:w="1984"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比较全面、准确地掌握财务预算的内涵、内容、理念和分析工具及方法并能够较好地加以运用</w:t>
            </w:r>
          </w:p>
        </w:tc>
        <w:tc>
          <w:tcPr>
            <w:tcW w:w="1843"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能够掌握财务预算的内涵、内容、理念和分析工具及方法并基本能够加以运用</w:t>
            </w:r>
          </w:p>
        </w:tc>
        <w:tc>
          <w:tcPr>
            <w:tcW w:w="1779"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基本掌握财务预算的内涵、内容、理念和分析工具及方法并基本了解如何以运用</w:t>
            </w:r>
          </w:p>
        </w:tc>
        <w:tc>
          <w:tcPr>
            <w:tcW w:w="1779"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对高财务预算的内涵、内容、理念和分析工具及方法的掌握一般，运用不够确切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14" w:hRule="atLeast"/>
          <w:jc w:val="center"/>
        </w:trPr>
        <w:tc>
          <w:tcPr>
            <w:tcW w:w="993"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hint="eastAsia"/>
              </w:rPr>
              <w:t>课程</w:t>
            </w:r>
          </w:p>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rPr>
              <w:t>目标3</w:t>
            </w:r>
          </w:p>
        </w:tc>
        <w:tc>
          <w:tcPr>
            <w:tcW w:w="1984"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能够很好地全面准确地掌握</w:t>
            </w:r>
            <w:r>
              <w:rPr>
                <w:lang w:val="en-US" w:eastAsia="zh-CN"/>
                <w:szCs w:val="21"/>
                <w:rFonts w:ascii="宋体" w:hAnsi="宋体" w:eastAsia="宋体" w:hint="eastAsia"/>
              </w:rPr>
              <w:t>筹资、投资、分配以及财务预警</w:t>
            </w:r>
            <w:r>
              <w:rPr>
                <w:szCs w:val="21"/>
                <w:rFonts w:ascii="宋体" w:hAnsi="宋体" w:eastAsia="宋体" w:hint="eastAsia"/>
              </w:rPr>
              <w:t>的内涵、内容、理念和分析工具及方法并能够很好地加以运用</w:t>
            </w:r>
          </w:p>
        </w:tc>
        <w:tc>
          <w:tcPr>
            <w:tcW w:w="1984"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比较全面、准确地掌握</w:t>
            </w:r>
            <w:r>
              <w:rPr>
                <w:lang w:val="en-US" w:eastAsia="zh-CN"/>
                <w:szCs w:val="21"/>
                <w:rFonts w:ascii="宋体" w:hAnsi="宋体" w:eastAsia="宋体" w:hint="eastAsia"/>
              </w:rPr>
              <w:t>筹资、投资、分配以及财务预警</w:t>
            </w:r>
            <w:r>
              <w:rPr>
                <w:szCs w:val="21"/>
                <w:rFonts w:ascii="宋体" w:hAnsi="宋体" w:eastAsia="宋体" w:hint="eastAsia"/>
              </w:rPr>
              <w:t>的内涵、内容、理念和分析工具及方法并能够较好地加以运用</w:t>
            </w:r>
          </w:p>
        </w:tc>
        <w:tc>
          <w:tcPr>
            <w:tcW w:w="1843"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能够掌握</w:t>
            </w:r>
            <w:r>
              <w:rPr>
                <w:lang w:val="en-US" w:eastAsia="zh-CN"/>
                <w:szCs w:val="21"/>
                <w:rFonts w:ascii="宋体" w:hAnsi="宋体" w:eastAsia="宋体" w:hint="eastAsia"/>
              </w:rPr>
              <w:t>筹资、投资、分配以及财务预警</w:t>
            </w:r>
            <w:r>
              <w:rPr>
                <w:szCs w:val="21"/>
                <w:rFonts w:ascii="宋体" w:hAnsi="宋体" w:eastAsia="宋体" w:hint="eastAsia"/>
              </w:rPr>
              <w:t>的内涵、内容、理念和分析工具及方法并基本能够加以运用</w:t>
            </w:r>
          </w:p>
        </w:tc>
        <w:tc>
          <w:tcPr>
            <w:tcW w:w="1779"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基本掌握</w:t>
            </w:r>
            <w:r>
              <w:rPr>
                <w:lang w:val="en-US" w:eastAsia="zh-CN"/>
                <w:szCs w:val="21"/>
                <w:rFonts w:ascii="宋体" w:hAnsi="宋体" w:eastAsia="宋体" w:hint="eastAsia"/>
              </w:rPr>
              <w:t>筹资、投资、分配以及财务预警</w:t>
            </w:r>
            <w:r>
              <w:rPr>
                <w:szCs w:val="21"/>
                <w:rFonts w:ascii="宋体" w:hAnsi="宋体" w:eastAsia="宋体" w:hint="eastAsia"/>
              </w:rPr>
              <w:t>的内涵、内容、理念和分析工具及方法并基本了解如何以运用</w:t>
            </w:r>
          </w:p>
        </w:tc>
        <w:tc>
          <w:tcPr>
            <w:tcW w:w="1779"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对</w:t>
            </w:r>
            <w:r>
              <w:rPr>
                <w:lang w:val="en-US" w:eastAsia="zh-CN"/>
                <w:szCs w:val="21"/>
                <w:rFonts w:ascii="宋体" w:hAnsi="宋体" w:eastAsia="宋体" w:hint="eastAsia"/>
              </w:rPr>
              <w:t>筹资、投资、分配以及财务预警</w:t>
            </w:r>
            <w:r>
              <w:rPr>
                <w:szCs w:val="21"/>
                <w:rFonts w:ascii="宋体" w:hAnsi="宋体" w:eastAsia="宋体" w:hint="eastAsia"/>
              </w:rPr>
              <w:t>的内涵、内容、理念和分析工具及方法的掌握一般，运用不够确切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14" w:hRule="atLeast"/>
          <w:jc w:val="center"/>
        </w:trPr>
        <w:tc>
          <w:tcPr>
            <w:tcW w:w="993" w:type="dxa"/>
            <w:vAlign w:val="center"/>
            <w:tcBorders>
              <w:top w:val="single" w:color="auto" w:sz="4" w:space="0"/>
              <w:left w:val="single" w:color="auto" w:sz="4" w:space="0"/>
              <w:bottom w:val="single" w:color="auto" w:sz="4" w:space="0"/>
              <w:right w:val="single" w:color="auto" w:sz="4" w:space="0"/>
            </w:tcBorders>
          </w:tcPr>
          <w:p>
            <w:pPr>
              <w:jc w:val="center"/>
              <w:spacing w:after="156" w:afterLines="50" w:before="156" w:beforeLines="50" w:lineRule="auto"/>
              <w:rPr>
                <w:b w:val="1"/>
                <w:bCs/>
                <w:kern w:val="0"/>
                <w:szCs w:val="21"/>
                <w:rFonts w:ascii="宋体" w:hAnsi="宋体" w:eastAsia="宋体"/>
              </w:rPr>
            </w:pPr>
            <w:r>
              <w:rPr>
                <w:b w:val="1"/>
                <w:bCs/>
                <w:kern w:val="0"/>
                <w:szCs w:val="21"/>
                <w:rFonts w:ascii="宋体" w:hAnsi="宋体" w:eastAsia="宋体" w:hint="eastAsia"/>
              </w:rPr>
              <w:t>课程</w:t>
            </w:r>
          </w:p>
          <w:p>
            <w:pPr>
              <w:jc w:val="center"/>
              <w:spacing w:after="156" w:afterLines="50" w:before="156" w:beforeLines="50" w:lineRule="auto"/>
              <w:rPr>
                <w:b w:val="1"/>
                <w:bCs/>
                <w:kern w:val="0"/>
                <w:szCs w:val="21"/>
                <w:rFonts w:ascii="宋体" w:hAnsi="宋体" w:eastAsia="宋体" w:hint="eastAsia"/>
              </w:rPr>
            </w:pPr>
            <w:r>
              <w:rPr>
                <w:b w:val="1"/>
                <w:bCs/>
                <w:kern w:val="0"/>
                <w:szCs w:val="21"/>
                <w:rFonts w:ascii="宋体" w:hAnsi="宋体" w:eastAsia="宋体"/>
              </w:rPr>
              <w:t>目标4</w:t>
            </w:r>
          </w:p>
        </w:tc>
        <w:tc>
          <w:tcPr>
            <w:tcW w:w="1984"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能够很好地掌握</w:t>
            </w:r>
            <w:r>
              <w:rPr>
                <w:bCs/>
                <w:rFonts w:hAnsi="宋体" w:cs="宋体" w:hint="eastAsia"/>
              </w:rPr>
              <w:t>课程论文和案例分析报告以及课堂讨论</w:t>
            </w:r>
            <w:r>
              <w:rPr>
                <w:szCs w:val="21"/>
                <w:rFonts w:ascii="宋体" w:hAnsi="宋体" w:eastAsia="宋体" w:hint="eastAsia"/>
              </w:rPr>
              <w:t>的方法并能够很好地加以运用</w:t>
            </w:r>
          </w:p>
        </w:tc>
        <w:tc>
          <w:tcPr>
            <w:tcW w:w="1984"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能够较好地掌握</w:t>
            </w:r>
            <w:r>
              <w:rPr>
                <w:bCs/>
                <w:rFonts w:hAnsi="宋体" w:cs="宋体" w:hint="eastAsia"/>
              </w:rPr>
              <w:t>课程论文和案例分析报告以及课堂讨论</w:t>
            </w:r>
            <w:r>
              <w:rPr>
                <w:szCs w:val="21"/>
                <w:rFonts w:ascii="宋体" w:hAnsi="宋体" w:eastAsia="宋体" w:hint="eastAsia"/>
              </w:rPr>
              <w:t>的方法并能够较好地加以运用</w:t>
            </w:r>
          </w:p>
        </w:tc>
        <w:tc>
          <w:tcPr>
            <w:tcW w:w="1843"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能够掌握</w:t>
            </w:r>
            <w:r>
              <w:rPr>
                <w:bCs/>
                <w:rFonts w:hAnsi="宋体" w:cs="宋体" w:hint="eastAsia"/>
              </w:rPr>
              <w:t>课程论文和案例分析报告以及课堂讨论</w:t>
            </w:r>
            <w:r>
              <w:rPr>
                <w:szCs w:val="21"/>
                <w:rFonts w:ascii="宋体" w:hAnsi="宋体" w:eastAsia="宋体" w:hint="eastAsia"/>
              </w:rPr>
              <w:t>的方法并基本能够加以运用</w:t>
            </w:r>
          </w:p>
        </w:tc>
        <w:tc>
          <w:tcPr>
            <w:tcW w:w="1779"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szCs w:val="21"/>
                <w:rFonts w:ascii="宋体" w:hAnsi="宋体" w:eastAsia="宋体" w:hint="eastAsia"/>
              </w:rPr>
              <w:t>基本掌握</w:t>
            </w:r>
            <w:r>
              <w:rPr>
                <w:bCs/>
                <w:rFonts w:hAnsi="宋体" w:cs="宋体" w:hint="eastAsia"/>
              </w:rPr>
              <w:t>课程论文和案例分析报告以及课堂讨论</w:t>
            </w:r>
            <w:r>
              <w:rPr>
                <w:szCs w:val="21"/>
                <w:rFonts w:ascii="宋体" w:hAnsi="宋体" w:eastAsia="宋体" w:hint="eastAsia"/>
              </w:rPr>
              <w:t>的方法并基本地加以运用</w:t>
            </w:r>
          </w:p>
        </w:tc>
        <w:tc>
          <w:tcPr>
            <w:tcW w:w="1779" w:type="dxa"/>
            <w:tcBorders>
              <w:top w:val="single" w:color="auto" w:sz="4" w:space="0"/>
              <w:left w:val="single" w:color="auto" w:sz="4" w:space="0"/>
              <w:bottom w:val="single" w:color="auto" w:sz="4" w:space="0"/>
              <w:right w:val="single" w:color="auto" w:sz="4" w:space="0"/>
            </w:tcBorders>
          </w:tcPr>
          <w:p>
            <w:pPr>
              <w:spacing w:after="156" w:afterLines="50" w:before="156" w:beforeLines="50" w:lineRule="auto"/>
              <w:rPr>
                <w:szCs w:val="21"/>
                <w:rFonts w:ascii="宋体" w:hAnsi="宋体" w:eastAsia="宋体"/>
              </w:rPr>
            </w:pPr>
            <w:r>
              <w:rPr>
                <w:bCs/>
                <w:rFonts w:hAnsi="宋体" w:cs="宋体" w:hint="eastAsia"/>
              </w:rPr>
              <w:t>对课程论文和案例分析报告以及课堂讨论</w:t>
            </w:r>
            <w:r>
              <w:rPr>
                <w:szCs w:val="21"/>
                <w:rFonts w:ascii="宋体" w:hAnsi="宋体" w:eastAsia="宋体" w:hint="eastAsia"/>
              </w:rPr>
              <w:t>的方法掌握一般，运用较差</w:t>
            </w:r>
          </w:p>
        </w:tc>
      </w:tr>
    </w:tbl>
    <w:p>
      <w:pPr>
        <w:jc w:val="left"/>
        <w:widowControl/>
        <w:rPr>
          <w:rFonts w:ascii="宋体" w:hAnsi="宋体" w:eastAsia="宋体"/>
        </w:rPr>
      </w:pPr>
    </w:p>
    <w:sectPr>
      <w:docGrid w:type="lines" w:linePitch="312" w:charSpace="0"/>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8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88E405BB"/>
    <w:multiLevelType w:val="singleLevel"/>
    <w:tmpl w:val="88E405BB"/>
    <w:lvl w:ilvl="0" w:tentative="0">
      <w:start w:val="2"/>
      <w:numFmt w:val="decimal"/>
      <w:suff w:val="space"/>
      <w:lvlText w:val="%1."/>
      <w:lvlJc w:val="left"/>
    </w:lvl>
  </w:abstractNum>
  <w:abstractNum w:abstractNumId="1">
    <w:nsid w:val="BB70F46B"/>
    <w:multiLevelType w:val="singleLevel"/>
    <w:tmpl w:val="BB70F46B"/>
    <w:lvl w:ilvl="0" w:tentative="0">
      <w:start w:val="3"/>
      <w:numFmt w:val="decimal"/>
      <w:suff w:val="space"/>
      <w:lvlText w:val="%1."/>
      <w:lvlJc w:val="left"/>
    </w:lvl>
  </w:abstractNum>
  <w:abstractNum w:abstractNumId="2">
    <w:nsid w:val="6499470A"/>
    <w:multiLevelType w:val="singleLevel"/>
    <w:tmpl w:val="6499470A"/>
    <w:lvl w:ilvl="0" w:tentative="0">
      <w:start w:val="2"/>
      <w:numFmt w:val="chineseCounting"/>
      <w:suff w:val="nothing"/>
      <w:lvlText w:val="（%1）"/>
      <w:lvlJc w:val="left"/>
    </w:lvl>
  </w:abstractNum>
  <w:abstractNum w:abstractNumId="3">
    <w:nsid w:val="64994788"/>
    <w:multiLevelType w:val="singleLevel"/>
    <w:tmpl w:val="64994788"/>
    <w:lvl w:ilvl="0" w:tentative="0">
      <w:start w:val="3"/>
      <w:numFmt w:val="chineseCounting"/>
      <w:suff w:val="nothing"/>
      <w:lvlText w:val="%1、"/>
      <w:lvlJc w:val="left"/>
    </w:lvl>
  </w:abstractNum>
  <w:abstractNum w:abstractNumId="4">
    <w:nsid w:val="649947F8"/>
    <w:multiLevelType w:val="singleLevel"/>
    <w:tmpl w:val="649947F8"/>
    <w:lvl w:ilvl="0" w:tentative="0">
      <w:start w:val="5"/>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0"/>
  <w:displayVerticalDrawingGridEvery w:val="2"/>
  <w:characterSpacingControl w:val="compressPunctuation"/>
  <w:zoom w:percent="11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001E5724"/>
    <w:rsid w:val="00022CBB"/>
    <w:rsid w:val="000317E4"/>
    <w:rsid w:val="0003724D"/>
    <w:rsid w:val="00055E20"/>
    <w:rsid w:val="00077A5F"/>
    <w:rsid w:val="000F054A"/>
    <w:rsid w:val="0010019F"/>
    <w:rsid w:val="00100E3C"/>
    <w:rsid w:val="00127147"/>
    <w:rsid w:val="0015121A"/>
    <w:rsid w:val="001E5724"/>
    <w:rsid w:val="00221B4B"/>
    <w:rsid w:val="00242673"/>
    <w:rsid w:val="00285327"/>
    <w:rsid w:val="00296C90"/>
    <w:rsid w:val="002A7568"/>
    <w:rsid w:val="00313A87"/>
    <w:rsid w:val="00322986"/>
    <w:rsid w:val="0034254B"/>
    <w:rsid w:val="0038665C"/>
    <w:rsid w:val="003B74C5"/>
    <w:rsid w:val="003C4E64"/>
    <w:rsid w:val="003D59DB"/>
    <w:rsid w:val="004070CF"/>
    <w:rsid w:val="004151E6"/>
    <w:rsid w:val="004A4CD6"/>
    <w:rsid w:val="00543422"/>
    <w:rsid w:val="00563D9B"/>
    <w:rsid w:val="005A0378"/>
    <w:rsid w:val="005D0106"/>
    <w:rsid w:val="0060418B"/>
    <w:rsid w:val="00606619"/>
    <w:rsid w:val="00651C2F"/>
    <w:rsid w:val="00665621"/>
    <w:rsid w:val="006925F9"/>
    <w:rsid w:val="006E4F82"/>
    <w:rsid w:val="006F64C9"/>
    <w:rsid w:val="0070303C"/>
    <w:rsid w:val="00717F03"/>
    <w:rsid w:val="007267D4"/>
    <w:rsid w:val="007373D3"/>
    <w:rsid w:val="007458F6"/>
    <w:rsid w:val="007639A2"/>
    <w:rsid w:val="007A5ECF"/>
    <w:rsid w:val="007C379D"/>
    <w:rsid w:val="007C62ED"/>
    <w:rsid w:val="007E39E3"/>
    <w:rsid w:val="00805798"/>
    <w:rsid w:val="008128AD"/>
    <w:rsid w:val="0082182C"/>
    <w:rsid w:val="008560E2"/>
    <w:rsid w:val="00866AFF"/>
    <w:rsid w:val="00886EBF"/>
    <w:rsid w:val="008A3E43"/>
    <w:rsid w:val="008B0BB0"/>
    <w:rsid w:val="0090371D"/>
    <w:rsid w:val="00980CB5"/>
    <w:rsid w:val="00981D2A"/>
    <w:rsid w:val="009842FA"/>
    <w:rsid w:val="009E6E7D"/>
    <w:rsid w:val="009F55B3"/>
    <w:rsid w:val="00A03BBD"/>
    <w:rsid w:val="00A61A98"/>
    <w:rsid w:val="00A61EFD"/>
    <w:rsid w:val="00A67B54"/>
    <w:rsid w:val="00A842EF"/>
    <w:rsid w:val="00AA4570"/>
    <w:rsid w:val="00AA630A"/>
    <w:rsid w:val="00AB53DD"/>
    <w:rsid w:val="00AE3D1A"/>
    <w:rsid w:val="00B002D0"/>
    <w:rsid w:val="00B03909"/>
    <w:rsid w:val="00B40ECD"/>
    <w:rsid w:val="00B5315F"/>
    <w:rsid w:val="00BA23F0"/>
    <w:rsid w:val="00C00798"/>
    <w:rsid w:val="00C54636"/>
    <w:rsid w:val="00C634DA"/>
    <w:rsid w:val="00C65A40"/>
    <w:rsid w:val="00C67E3C"/>
    <w:rsid w:val="00C7635B"/>
    <w:rsid w:val="00CA53B2"/>
    <w:rsid w:val="00CC026F"/>
    <w:rsid w:val="00CD41BE"/>
    <w:rsid w:val="00CF0B27"/>
    <w:rsid w:val="00D02F99"/>
    <w:rsid w:val="00D13271"/>
    <w:rsid w:val="00D14471"/>
    <w:rsid w:val="00D417A1"/>
    <w:rsid w:val="00D504B7"/>
    <w:rsid w:val="00D715F7"/>
    <w:rsid w:val="00DC491B"/>
    <w:rsid w:val="00DC5BE6"/>
    <w:rsid w:val="00DD4B30"/>
    <w:rsid w:val="00DD7B5F"/>
    <w:rsid w:val="00DE7849"/>
    <w:rsid w:val="00E05E8B"/>
    <w:rsid w:val="00E30B07"/>
    <w:rsid w:val="00E366AB"/>
    <w:rsid w:val="00E7379C"/>
    <w:rsid w:val="00E76E34"/>
    <w:rsid w:val="00ED7F81"/>
    <w:rsid w:val="00F42E99"/>
    <w:rsid w:val="00F56396"/>
    <w:rsid w:val="00F70FD7"/>
    <w:rsid w:val="00FB77A1"/>
    <w:rsid w:val="00FC24B5"/>
    <w:rsid w:val="00FF7FE8"/>
    <w:rsid w:val="020B7729"/>
    <w:rsid w:val="032D64CB"/>
    <w:rsid w:val="08E94BE9"/>
    <w:rsid w:val="1F5901EA"/>
    <w:rsid w:val="24DE0BEE"/>
    <w:rsid w:val="270E29A4"/>
    <w:rsid w:val="2C385803"/>
    <w:rsid w:val="2FA10B21"/>
    <w:rsid w:val="34C108AA"/>
    <w:rsid w:val="37FD31FE"/>
    <w:rsid w:val="420F6274"/>
    <w:rsid w:val="448C3974"/>
    <w:rsid w:val="4CF50B53"/>
    <w:rsid w:val="55FA250B"/>
    <w:rsid w:val="56D73167"/>
    <w:rsid w:val="59433257"/>
    <w:rsid w:val="5B9C7CD3"/>
    <w:rsid w:val="5D197D5D"/>
    <w:rsid w:val="5ECF7E9C"/>
    <w:rsid w:val="663E4B9E"/>
    <w:rsid w:val="6D38040D"/>
    <w:rsid w:val="6D903118"/>
    <w:rsid w:val="709A2664"/>
    <w:rsid w:val="74D242B2"/>
    <w:rsid w:val="7D3E2CF9"/>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Calibri" w:hAnsi="Calibri" w:eastAsia="宋体" w:cs="Times New Roman"/>
      </w:rPr>
    </w:rPrDefault>
    <w:pPrDefault/>
  </w:docDefaults>
  <w:latentStyles w:defLockedState="0" w:defSemiHidden="1" w:defUnhideWhenUsed="1" w:defQFormat="0" w:defUIPriority="99" w:count="260">
    <w:lsdException w:name="Balloon Text" w:uiPriority="99" w:semiHidden="0" w:qFormat="1"/>
    <w:lsdException w:name="Block Text" w:uiPriority="99"/>
    <w:lsdException w:name="Body Text" w:uiPriority="99"/>
    <w:lsdException w:name="Body Text 2" w:uiPriority="99"/>
    <w:lsdException w:name="Body Text 3" w:uiPriority="99"/>
    <w:lsdException w:name="Body Text First Indent" w:uiPriority="99"/>
    <w:lsdException w:name="Body Text First Indent 2" w:uiPriority="99"/>
    <w:lsdException w:name="Body Text Indent" w:uiPriority="99"/>
    <w:lsdException w:name="Body Text Indent 2" w:uiPriority="99"/>
    <w:lsdException w:name="Body Text Indent 3" w:uiPriority="99"/>
    <w:lsdException w:name="Closing" w:uiPriority="99"/>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99"/>
    <w:lsdException w:name="Default Paragraph Font" w:uiPriority="1"/>
    <w:lsdException w:name="Document Map" w:uiPriority="99"/>
    <w:lsdException w:name="E-mail Signature" w:uiPriority="99"/>
    <w:lsdException w:name="Emphasis" w:uiPriority="20" w:semiHidden="0" w:unhideWhenUsed="0" w:qFormat="1"/>
    <w:lsdException w:name="FollowedHyperlink"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Hyperlink" w:uiPriority="99"/>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99"/>
    <w:lsdException w:name="List 2" w:uiPriority="99"/>
    <w:lsdException w:name="List 3" w:uiPriority="99"/>
    <w:lsdException w:name="List 4" w:uiPriority="99"/>
    <w:lsdException w:name="List 5" w:uiPriority="99"/>
    <w:lsdException w:name="List Bullet" w:uiPriority="99"/>
    <w:lsdException w:name="List Bullet 2" w:uiPriority="99"/>
    <w:lsdException w:name="List Bullet 3" w:uiPriority="99"/>
    <w:lsdException w:name="List Bullet 4" w:uiPriority="99"/>
    <w:lsdException w:name="List Bullet 5" w:uiPriority="99"/>
    <w:lsdException w:name="List Continue" w:uiPriority="99"/>
    <w:lsdException w:name="List Continue 2" w:uiPriority="99"/>
    <w:lsdException w:name="List Continue 3" w:uiPriority="99"/>
    <w:lsdException w:name="List Continue 4" w:uiPriority="99"/>
    <w:lsdException w:name="List Continue 5" w:uiPriority="99"/>
    <w:lsdException w:name="List Number" w:uiPriority="99"/>
    <w:lsdException w:name="List Number 2" w:uiPriority="99"/>
    <w:lsdException w:name="List Number 3" w:uiPriority="99"/>
    <w:lsdException w:name="List Number 4" w:uiPriority="99"/>
    <w:lsdException w:name="List Number 5" w:uiPriority="99"/>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99"/>
    <w:lsdException w:name="Normal" w:uiPriority="0" w:semiHidden="0" w:unhideWhenUsed="0" w:qFormat="1"/>
    <w:lsdException w:name="Normal (Web)" w:uiPriority="99"/>
    <w:lsdException w:name="Normal Indent" w:uiPriority="0" w:qFormat="1"/>
    <w:lsdException w:name="Normal Table" w:uiPriority="99"/>
    <w:lsdException w:name="Note Heading" w:uiPriority="99"/>
    <w:lsdException w:name="Plain Text" w:uiPriority="99" w:semiHidden="0" w:unhideWhenUsed="0" w:qFormat="1"/>
    <w:lsdException w:name="Salutation" w:uiPriority="99"/>
    <w:lsdException w:name="Signature" w:uiPriority="99"/>
    <w:lsdException w:name="Strong" w:uiPriority="22" w:semiHidden="0" w:unhideWhenUsed="0" w:qFormat="1"/>
    <w:lsdException w:name="Subtitle" w:uiPriority="11" w:semiHidden="0" w:unhideWhenUsed="0" w:qFormat="1"/>
    <w:lsdException w:name="Table 3D effects 1" w:uiPriority="99"/>
    <w:lsdException w:name="Table 3D effects 2" w:uiPriority="99"/>
    <w:lsdException w:name="Table 3D effects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Contemporary" w:uiPriority="99"/>
    <w:lsdException w:name="Table Elegant" w:uiPriority="99"/>
    <w:lsdException w:name="Table Grid" w:uiPriority="39" w:semiHidden="0" w:unhideWhenUsed="0" w:qFormat="1"/>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Professional" w:uiPriority="99"/>
    <w:lsdException w:name="Table Simple 1" w:uiPriority="99"/>
    <w:lsdException w:name="Table Simple 2" w:uiPriority="99"/>
    <w:lsdException w:name="Table Simple 3" w:uiPriority="99"/>
    <w:lsdException w:name="Table Subtle 1" w:uiPriority="99"/>
    <w:lsdException w:name="Table Subtle 2" w:uiPriority="99"/>
    <w:lsdException w:name="Table Theme" w:uiPriority="99"/>
    <w:lsdException w:name="Table Web 1" w:uiPriority="99"/>
    <w:lsdException w:name="Table Web 2" w:uiPriority="99"/>
    <w:lsdException w:name="Table Web 3" w:uiPriority="99"/>
    <w:lsdException w:name="Title" w:uiPriority="10" w:semiHidden="0" w:unhideWhenUsed="0" w:qFormat="1"/>
    <w:lsdException w:name="annotation reference" w:uiPriority="99"/>
    <w:lsdException w:name="annotation subject" w:uiPriority="99"/>
    <w:lsdException w:name="annotation text" w:uiPriority="99"/>
    <w:lsdException w:name="caption" w:uiPriority="35" w:qFormat="1"/>
    <w:lsdException w:name="endnote reference" w:uiPriority="99"/>
    <w:lsdException w:name="endnote text" w:uiPriority="99"/>
    <w:lsdException w:name="envelope address" w:uiPriority="99"/>
    <w:lsdException w:name="envelope return" w:uiPriority="99"/>
    <w:lsdException w:name="footer" w:uiPriority="99" w:semiHidden="0" w:qFormat="1"/>
    <w:lsdException w:name="footnote reference" w:uiPriority="99"/>
    <w:lsdException w:name="footnote text" w:uiPriority="99"/>
    <w:lsdException w:name="header" w:uiPriority="99" w:semiHidden="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index heading" w:uiPriority="99"/>
    <w:lsdException w:name="line number" w:uiPriority="99"/>
    <w:lsdException w:name="macro" w:uiPriority="99"/>
    <w:lsdException w:name="page number" w:uiPriority="99"/>
    <w:lsdException w:name="table of authorities" w:uiPriority="99"/>
    <w:lsdException w:name="table of figures" w:uiPriority="99"/>
    <w:lsdException w:name="toa heading"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atentStyles>
  <w:style w:type="paragraph" w:styleId="1" w:default="1">
    <w:name w:val="Normal"/>
    <w:uiPriority w:val="0"/>
    <w:qFormat/>
    <w:pPr>
      <w:jc w:val="both"/>
      <w:widowControl w:val="0"/>
    </w:pPr>
    <w:rPr>
      <w:sz w:val="21"/>
      <w:lang w:val="en-US" w:eastAsia="zh-CN" w:bidi="ar-SA"/>
      <w:kern w:val="2"/>
      <w:szCs w:val="22"/>
      <w:rFonts w:asciiTheme="minorHAnsi" w:hAnsiTheme="minorHAnsi" w:eastAsiaTheme="minorEastAsia" w:cstheme="minorBidi"/>
    </w:rPr>
  </w:style>
  <w:style w:type="character" w:styleId="9" w:default="1">
    <w:name w:val="Default Paragraph Font"/>
    <w:uiPriority w:val="1"/>
    <w:semiHidden/>
    <w:unhideWhenUsed/>
  </w:style>
  <w:style w:type="table" w:styleId="7" w:default="1">
    <w:name w:val="Normal Table"/>
    <w:uiPriority w:val="99"/>
    <w:semiHidden/>
    <w:unhideWhenUsed/>
    <w:tblPr>
      <w:tblCellMar>
        <w:top w:type="dxa" w:w="0.000000"/>
        <w:bottom w:type="dxa" w:w="0.000000"/>
        <w:left w:type="dxa" w:w="108.000000"/>
        <w:right w:type="dxa" w:w="108.000000"/>
      </w:tblCellMar>
    </w:tblPr>
  </w:style>
  <w:style w:type="paragraph" w:styleId="2">
    <w:name w:val="Normal Indent"/>
    <w:basedOn w:val="1"/>
    <w:uiPriority w:val="0"/>
    <w:semiHidden/>
    <w:unhideWhenUsed/>
    <w:qFormat/>
    <w:pPr>
      <w:ind w:firstLine="420" w:firstLineChars="200"/>
    </w:pPr>
    <w:rPr>
      <w:sz w:val="24"/>
      <w:szCs w:val="24"/>
      <w:rFonts w:ascii="Times New Roman" w:hAnsi="Times New Roman" w:eastAsia="宋体" w:cs="Times New Roman"/>
    </w:rPr>
  </w:style>
  <w:style w:type="paragraph" w:styleId="3">
    <w:name w:val="Plain Text"/>
    <w:basedOn w:val="1"/>
    <w:link w:val="10"/>
    <w:uiPriority w:val="99"/>
    <w:qFormat/>
    <w:rPr>
      <w:szCs w:val="20"/>
      <w:rFonts w:ascii="宋体" w:hAnsi="Courier New" w:eastAsia="宋体" w:cs="Times New Roman"/>
    </w:rPr>
  </w:style>
  <w:style w:type="paragraph" w:styleId="4">
    <w:name w:val="Balloon Text"/>
    <w:basedOn w:val="1"/>
    <w:link w:val="13"/>
    <w:uiPriority w:val="99"/>
    <w:unhideWhenUsed/>
    <w:qFormat/>
    <w:rPr>
      <w:sz w:val="18"/>
      <w:szCs w:val="18"/>
    </w:rPr>
  </w:style>
  <w:style w:type="paragraph" w:styleId="5">
    <w:name w:val="footer"/>
    <w:basedOn w:val="1"/>
    <w:link w:val="12"/>
    <w:uiPriority w:val="99"/>
    <w:unhideWhenUsed/>
    <w:qFormat/>
    <w:pPr>
      <w:snapToGrid w:val="0"/>
      <w:jc w:val="left"/>
      <w:tabs>
        <w:tab w:val="center" w:pos="4153"/>
        <w:tab w:val="right" w:pos="8306"/>
      </w:tabs>
    </w:pPr>
    <w:rPr>
      <w:sz w:val="18"/>
      <w:szCs w:val="18"/>
    </w:rPr>
  </w:style>
  <w:style w:type="paragraph" w:styleId="6">
    <w:name w:val="header"/>
    <w:basedOn w:val="1"/>
    <w:link w:val="11"/>
    <w:uiPriority w:val="99"/>
    <w:unhideWhenUsed/>
    <w:qFormat/>
    <w:pPr>
      <w:snapToGrid w:val="0"/>
      <w:jc w:val="center"/>
      <w:pBdr>
        <w:bottom w:val="single" w:color="auto" w:sz="6" w:space="1"/>
      </w:pBdr>
      <w:tabs>
        <w:tab w:val="center" w:pos="4153"/>
        <w:tab w:val="right" w:pos="8306"/>
      </w:tabs>
    </w:pPr>
    <w:rPr>
      <w:sz w:val="18"/>
      <w:szCs w:val="18"/>
    </w:rPr>
  </w:style>
  <w:style w:type="table" w:styleId="8">
    <w:name w:val="Table Grid"/>
    <w:basedOn w:val="7"/>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customStyle="1">
    <w:name w:val="纯文本 字符"/>
    <w:basedOn w:val="9"/>
    <w:link w:val="3"/>
    <w:uiPriority w:val="99"/>
    <w:qFormat/>
    <w:rPr>
      <w:szCs w:val="20"/>
      <w:rFonts w:ascii="宋体" w:hAnsi="Courier New" w:eastAsia="宋体" w:cs="Times New Roman"/>
    </w:rPr>
  </w:style>
  <w:style w:type="character" w:styleId="11" w:customStyle="1">
    <w:name w:val="页眉 字符"/>
    <w:basedOn w:val="9"/>
    <w:link w:val="6"/>
    <w:uiPriority w:val="99"/>
    <w:qFormat/>
    <w:rPr>
      <w:sz w:val="18"/>
      <w:szCs w:val="18"/>
    </w:rPr>
  </w:style>
  <w:style w:type="character" w:styleId="12" w:customStyle="1">
    <w:name w:val="页脚 字符"/>
    <w:basedOn w:val="9"/>
    <w:link w:val="5"/>
    <w:uiPriority w:val="99"/>
    <w:qFormat/>
    <w:rPr>
      <w:sz w:val="18"/>
      <w:szCs w:val="18"/>
    </w:rPr>
  </w:style>
  <w:style w:type="character" w:styleId="13" w:customStyle="1">
    <w:name w:val="批注框文本 字符"/>
    <w:basedOn w:val="9"/>
    <w:link w:val="4"/>
    <w:uiPriority w:val="99"/>
    <w:semiHidden/>
    <w:qFormat/>
    <w:rPr>
      <w:sz w:val="18"/>
      <w:szCs w:val="18"/>
    </w:rPr>
  </w:style>
  <w:style w:type="paragraph" w:styleId="14" w:customStyle="1">
    <w:name w:val="无间隔1"/>
    <w:uiPriority w:val="1"/>
    <w:qFormat/>
    <w:pPr>
      <w:jc w:val="both"/>
      <w:widowControl w:val="0"/>
    </w:pPr>
    <w:rPr>
      <w:sz w:val="21"/>
      <w:lang w:val="en-US" w:eastAsia="zh-CN" w:bidi="ar-SA"/>
      <w:kern w:val="2"/>
      <w:szCs w:val="24"/>
      <w:rFonts w:ascii="Times New Roman" w:hAnsi="Times New Roman" w:eastAsia="宋体" w:cs="Times New Roman"/>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4" Type="http://schemas.openxmlformats.org/officeDocument/2006/relationships/numbering" Target="numbering.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
        <a:ea typeface=""/>
        <a:cs typeface=""/>
        <a:font script="Hant" typeface="新細明體"/>
        <a:font script="Arab" typeface="Times New Roman"/>
        <a:font script="Knda" typeface="Tunga"/>
        <a:font script="Taml" typeface="Latha"/>
        <a:font script="Ethi" typeface="Nyala"/>
        <a:font script="Hans" typeface="等线 Light"/>
        <a:font script="Guru" typeface="Raavi"/>
        <a:font script="Yiii" typeface="Microsoft Yi Baiti"/>
        <a:font script="Thaa" typeface="MV Boli"/>
        <a:font script="Jpan" typeface="游ゴシック Light"/>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等线" panose=""/>
        <a:ea typeface=""/>
        <a:cs typeface=""/>
        <a:font script="Hant" typeface="新細明體"/>
        <a:font script="Arab" typeface="Arial"/>
        <a:font script="Knda" typeface="Tunga"/>
        <a:font script="Taml" typeface="Latha"/>
        <a:font script="Ethi" typeface="Nyala"/>
        <a:font script="Hans" typeface="等线"/>
        <a:font script="Guru" typeface="Raavi"/>
        <a:font script="Yiii" typeface="Microsoft Yi Baiti"/>
        <a:font script="Thaa" typeface="MV Boli"/>
        <a:font script="Jpan" typeface="游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35</TotalTime>
  <Pages>14</Pages>
  <Words>1395</Words>
  <Characters>7955</Characters>
  <Application>WPS Office_11.1.0.14309_F1E327BC-269C-435d-A152-05C5408002CA</Application>
  <DocSecurity>0</DocSecurity>
  <Lines>66</Lines>
  <Paragraphs>18</Paragraphs>
  <ScaleCrop>false</ScaleCrop>
  <Company>P R C</Company>
  <LinksUpToDate>false</LinksUpToDate>
  <CharactersWithSpaces>9332</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Windows User</dc:creator>
  <cp:keywords/>
  <dc:description/>
  <cp:lastModifiedBy>admin</cp:lastModifiedBy>
  <cp:revision>38</cp:revision>
  <dcterms:created xsi:type="dcterms:W3CDTF">2023-06-30T01:03:00Z</dcterms:created>
  <dcterms:modified xsi:type="dcterms:W3CDTF">2023-07-18T04:11:16Z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06C416A18590466D812C4467A5F2D80A_12</vt:lpwstr>
  </property>
</Properties>
</file>