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eastAsia="宋体"/>
          <w:b/>
          <w:bCs/>
          <w:sz w:val="28"/>
          <w:szCs w:val="28"/>
        </w:rPr>
        <w:t>外贸函电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5"/>
        <w:numPr>
          <w:ilvl w:val="0"/>
          <w:numId w:val="1"/>
        </w:numPr>
        <w:spacing w:before="120" w:beforeLines="50" w:after="120" w:afterLines="50"/>
        <w:jc w:val="left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课程基本信息</w:t>
      </w:r>
    </w:p>
    <w:tbl>
      <w:tblPr>
        <w:tblStyle w:val="1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both"/>
              <w:rPr>
                <w:rFonts w:eastAsia="宋体"/>
              </w:rPr>
            </w:pPr>
            <w:r>
              <w:rPr>
                <w:rFonts w:eastAsia="宋体"/>
              </w:rPr>
              <w:t xml:space="preserve">Correspondence for Import &amp; Export 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hint="eastAsia" w:eastAsia="宋体"/>
                <w:b/>
                <w:bCs/>
              </w:rPr>
              <w:t xml:space="preserve"> IETT20</w:t>
            </w:r>
            <w:r>
              <w:rPr>
                <w:rFonts w:eastAsia="宋体"/>
                <w:b/>
                <w:bCs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hint="eastAsia" w:eastAsia="宋体"/>
              </w:rPr>
              <w:t>专业</w:t>
            </w:r>
            <w:r>
              <w:rPr>
                <w:rFonts w:hint="eastAsia" w:eastAsia="宋体"/>
                <w:lang w:val="en-US" w:eastAsia="zh-CN"/>
              </w:rPr>
              <w:t>选</w:t>
            </w:r>
            <w:r>
              <w:rPr>
                <w:rFonts w:hint="eastAsia" w:eastAsia="宋体"/>
              </w:rPr>
              <w:t>修课程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国际贸易专业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毛群英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  <w:lang w:val="en-US" w:eastAsia="zh-CN"/>
              </w:rPr>
              <w:t>朱冬梅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.</w:t>
            </w:r>
            <w:r>
              <w:rPr>
                <w:rFonts w:ascii="宋体" w:hAnsi="宋体" w:eastAsia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《新编进出口英语函电》</w:t>
            </w:r>
          </w:p>
        </w:tc>
      </w:tr>
    </w:tbl>
    <w:p>
      <w:pPr>
        <w:pStyle w:val="5"/>
        <w:spacing w:before="120" w:beforeLines="50" w:after="120" w:afterLines="50"/>
        <w:ind w:firstLine="562" w:firstLineChars="200"/>
        <w:rPr>
          <w:rFonts w:ascii="黑体" w:hAnsi="黑体" w:eastAsia="黑体" w:cs="宋体"/>
          <w:b/>
          <w:sz w:val="28"/>
          <w:szCs w:val="28"/>
        </w:rPr>
      </w:pPr>
    </w:p>
    <w:p>
      <w:pPr>
        <w:pStyle w:val="5"/>
        <w:spacing w:before="120" w:beforeLines="50" w:after="120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jc w:val="both"/>
        <w:rPr>
          <w:rFonts w:eastAsia="宋体"/>
        </w:rPr>
      </w:pPr>
      <w:r>
        <w:rPr>
          <w:rFonts w:hint="eastAsia" w:ascii="黑体" w:hAnsi="黑体" w:eastAsia="黑体" w:cs="宋体"/>
        </w:rPr>
        <w:t>（一）</w:t>
      </w:r>
      <w:r>
        <w:rPr>
          <w:rFonts w:hint="eastAsia" w:ascii="黑体" w:hAnsi="黑体" w:eastAsia="黑体" w:cs="宋体"/>
          <w:b/>
        </w:rPr>
        <w:t>总体目标：</w:t>
      </w:r>
      <w:r>
        <w:rPr>
          <w:rFonts w:hint="eastAsia" w:eastAsia="宋体"/>
        </w:rPr>
        <w:t>外贸函电是我们建立对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"https://baike.baidu.com/item/%E5%A4%96%E8%B4%B8%E6%98%93/9212543" \t "_blank" </w:instrText>
      </w:r>
      <w:r>
        <w:rPr>
          <w:rFonts w:hint="eastAsia" w:eastAsia="宋体"/>
        </w:rPr>
        <w:fldChar w:fldCharType="separate"/>
      </w:r>
      <w:r>
        <w:rPr>
          <w:rFonts w:hint="eastAsia" w:eastAsia="宋体"/>
        </w:rPr>
        <w:t>外贸易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关系和外贸往来的重要手段。我们要帮助学生认识到，在坚持改革开放的基础上，他们在经过专门训练后，提高英语语言的实际应用能力，掌握规范的、符合现代英语习惯的表达方式。应用到进出口贸易的各个环节的同时，更好地对外宣传我们的文化和价值观，为我国可持续发展贡献青春和力量。在本课程的每一个环节，都蕴含着东方和西方政治体制的差异、经济政 策的不同、文化的冲突以及意识形态的碰撞等，因此，在深入理解“</w:t>
      </w:r>
      <w:r>
        <w:rPr>
          <w:rFonts w:hint="eastAsia" w:eastAsia="宋体"/>
          <w:lang w:val="en-US" w:eastAsia="zh-CN"/>
        </w:rPr>
        <w:t>外贸函电</w:t>
      </w:r>
      <w:r>
        <w:rPr>
          <w:rFonts w:hint="eastAsia" w:eastAsia="宋体"/>
        </w:rPr>
        <w:t>”课程特点的基础上，充分遵循本课程培养目标要求的同时，有效挖掘其思政教育的外延，紧扣时代脉搏，强调无缝融入我国传统文化精髓和社</w:t>
      </w:r>
      <w:r>
        <w:rPr>
          <w:rFonts w:eastAsia="宋体"/>
        </w:rPr>
        <w:t xml:space="preserve"> </w:t>
      </w:r>
      <w:r>
        <w:rPr>
          <w:rFonts w:hint="eastAsia" w:eastAsia="宋体"/>
        </w:rPr>
        <w:t>会主义核心价值观。在人才培养目标上，应坚持德智体美劳全面发展的人才培养导向和衡量标准；因此，需要使得思政理论课程与各类专业课程在人才培养目标上保持一致、在人才培养过程中共同推进、在人才培养效果上互相补充，共同致力于为社会主义现代化建设培养德智体美劳全面发</w:t>
      </w:r>
      <w:r>
        <w:rPr>
          <w:rFonts w:eastAsia="宋体"/>
        </w:rPr>
        <w:t xml:space="preserve"> </w:t>
      </w:r>
      <w:r>
        <w:rPr>
          <w:rFonts w:hint="eastAsia" w:eastAsia="宋体"/>
        </w:rPr>
        <w:t>展的高素质人才。</w:t>
      </w:r>
    </w:p>
    <w:p>
      <w:pPr>
        <w:pStyle w:val="5"/>
        <w:spacing w:before="120" w:beforeLines="50" w:after="120" w:afterLines="5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spacing w:line="360" w:lineRule="exact"/>
        <w:jc w:val="both"/>
        <w:rPr>
          <w:rFonts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</w:rPr>
        <w:t>课程目标1：通过本课程的教学，使学生认识到，在坚持改革开放的基础上，他们在经过专门训练后，提高英语语言的实际应用能力，掌握规范的、符合现代英语习惯的表达方式</w:t>
      </w:r>
      <w:r>
        <w:rPr>
          <w:rFonts w:hint="eastAsia" w:hAnsi="宋体" w:eastAsia="宋体" w:cs="宋体"/>
          <w:b/>
          <w:lang w:eastAsia="zh-CN"/>
        </w:rPr>
        <w:t>，</w:t>
      </w:r>
      <w:r>
        <w:rPr>
          <w:rFonts w:hint="eastAsia" w:hAnsi="宋体" w:cs="宋体"/>
          <w:b/>
        </w:rPr>
        <w:t>应用到进出口贸易的各个环节。</w:t>
      </w:r>
    </w:p>
    <w:p>
      <w:pPr>
        <w:pStyle w:val="5"/>
        <w:spacing w:before="120" w:beforeLines="50" w:after="120" w:afterLines="50"/>
        <w:rPr>
          <w:rFonts w:hint="eastAsia" w:ascii="Times New Roman" w:hAnsi="宋体" w:eastAsia="Times New Roman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Times New Roman" w:cs="宋体"/>
          <w:b/>
          <w:kern w:val="0"/>
          <w:sz w:val="24"/>
          <w:szCs w:val="24"/>
          <w:lang w:val="en-US" w:eastAsia="zh-CN" w:bidi="ar-SA"/>
        </w:rPr>
        <w:t>课程目标2：能熟记和掌握课文中符合语言规范的外贸专业用语，积极参与国际贸易实务活动。</w:t>
      </w:r>
    </w:p>
    <w:p>
      <w:pPr>
        <w:pStyle w:val="5"/>
        <w:spacing w:before="120" w:beforeLines="50" w:after="120" w:afterLines="50"/>
        <w:rPr>
          <w:rFonts w:hint="eastAsia" w:ascii="Times New Roman" w:hAnsi="宋体" w:eastAsia="Times New Roman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Times New Roman" w:cs="宋体"/>
          <w:b/>
          <w:kern w:val="0"/>
          <w:sz w:val="24"/>
          <w:szCs w:val="24"/>
          <w:lang w:val="en-US" w:eastAsia="zh-CN" w:bidi="ar-SA"/>
        </w:rPr>
        <w:t>课程目标3：培养学生草拟国际货物买卖合同的能力， 通过讨论、演讲和书面分析，加强学生代表国家形象对外沟通能力。</w:t>
      </w:r>
    </w:p>
    <w:p>
      <w:pPr>
        <w:pStyle w:val="24"/>
        <w:numPr>
          <w:ilvl w:val="0"/>
          <w:numId w:val="0"/>
        </w:numPr>
        <w:spacing w:line="360" w:lineRule="exact"/>
        <w:jc w:val="both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120" w:beforeLines="50" w:after="120" w:afterLines="50"/>
        <w:ind w:firstLine="422" w:firstLineChars="200"/>
        <w:rPr>
          <w:rFonts w:hAnsi="宋体" w:cs="宋体"/>
          <w:b/>
        </w:rPr>
      </w:pPr>
    </w:p>
    <w:p>
      <w:pPr>
        <w:pStyle w:val="5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5"/>
        <w:spacing w:before="120" w:beforeLines="50" w:after="120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1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268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68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311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2688" w:type="dxa"/>
            <w:vAlign w:val="center"/>
          </w:tcPr>
          <w:p>
            <w:pPr>
              <w:pStyle w:val="5"/>
              <w:spacing w:before="120" w:beforeLines="50" w:after="120" w:afterLine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提高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外贸</w:t>
            </w:r>
            <w:r>
              <w:rPr>
                <w:rFonts w:hint="eastAsia" w:hAnsi="宋体" w:cs="宋体"/>
                <w:szCs w:val="21"/>
              </w:rPr>
              <w:t>英语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书面</w:t>
            </w:r>
            <w:r>
              <w:rPr>
                <w:rFonts w:hint="eastAsia" w:hAnsi="宋体" w:cs="宋体"/>
                <w:szCs w:val="21"/>
              </w:rPr>
              <w:t>语言的实际应用能力</w:t>
            </w:r>
          </w:p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扎实掌握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经济与贸易类专业基础理论、基本知识和基本技能；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268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掌握规范的、符合现代英语习惯的表达方式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系统掌握国际贸易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各项条款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的各种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常用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表达方式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268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能熟记和掌握课文中符合语言规范的外贸专业用语</w:t>
            </w:r>
          </w:p>
        </w:tc>
        <w:tc>
          <w:tcPr>
            <w:tcW w:w="311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培养团结协作和务实创新的品质；培养良好的思想品德、社会公德和为人民服务的职业道德。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2688" w:type="dxa"/>
            <w:vAlign w:val="center"/>
          </w:tcPr>
          <w:p>
            <w:pPr>
              <w:pStyle w:val="5"/>
              <w:spacing w:before="120" w:beforeLines="50" w:after="120" w:afterLines="50"/>
              <w:rPr>
                <w:rFonts w:hint="eastAsia" w:ascii="Times New Roman" w:hAnsi="宋体" w:eastAsia="Times New Roman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szCs w:val="21"/>
              </w:rPr>
              <w:t>国际贸易理论与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外贸函电应用</w:t>
            </w:r>
            <w:r>
              <w:rPr>
                <w:rFonts w:hint="eastAsia" w:hAnsi="宋体" w:cs="宋体"/>
                <w:szCs w:val="21"/>
              </w:rPr>
              <w:t>的关系</w:t>
            </w:r>
            <w:r>
              <w:rPr>
                <w:rFonts w:hint="eastAsia" w:hAnsi="宋体" w:cs="宋体"/>
                <w:szCs w:val="21"/>
                <w:lang w:eastAsia="zh-CN"/>
              </w:rPr>
              <w:t>，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积极参与国际贸易实务活动。</w:t>
            </w:r>
          </w:p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掌握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外贸函电</w:t>
            </w:r>
            <w:r>
              <w:rPr>
                <w:rFonts w:hint="eastAsia" w:hAnsi="宋体" w:cs="宋体"/>
                <w:szCs w:val="21"/>
              </w:rPr>
              <w:t>现实问题的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应用和表达方式</w:t>
            </w:r>
            <w:r>
              <w:rPr>
                <w:rFonts w:hint="eastAsia" w:hAnsi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268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int="default" w:ascii="黑体" w:hAnsi="宋体"/>
                <w:b/>
                <w:bCs/>
                <w:szCs w:val="21"/>
                <w:lang w:val="en-US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拟定国际货物买卖合同各项条款与沟通方式</w:t>
            </w:r>
          </w:p>
        </w:tc>
        <w:tc>
          <w:tcPr>
            <w:tcW w:w="3118" w:type="dxa"/>
            <w:vAlign w:val="center"/>
          </w:tcPr>
          <w:p>
            <w:pPr>
              <w:pStyle w:val="5"/>
              <w:spacing w:before="120" w:beforeLines="50" w:after="120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理解</w:t>
            </w:r>
            <w:r>
              <w:rPr>
                <w:rFonts w:hint="eastAsia" w:hAnsi="宋体" w:cs="宋体"/>
                <w:lang w:val="en-US" w:eastAsia="zh-CN"/>
              </w:rPr>
              <w:t>外贸函电写作</w:t>
            </w:r>
            <w:r>
              <w:rPr>
                <w:rFonts w:hint="eastAsia" w:hAnsi="宋体" w:cs="宋体"/>
              </w:rPr>
              <w:t>理论依据。</w:t>
            </w:r>
          </w:p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2688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int="eastAsia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szCs w:val="21"/>
                <w:lang w:val="en-US" w:eastAsia="zh-CN"/>
              </w:rPr>
              <w:t>积极参与</w:t>
            </w:r>
            <w:r>
              <w:rPr>
                <w:rFonts w:hint="eastAsia" w:ascii="黑体" w:hAnsi="宋体"/>
                <w:szCs w:val="21"/>
              </w:rPr>
              <w:t>国际贸易实践</w:t>
            </w:r>
            <w:r>
              <w:rPr>
                <w:rFonts w:hint="eastAsia" w:ascii="黑体" w:hAnsi="宋体"/>
                <w:szCs w:val="21"/>
                <w:lang w:val="en-US" w:eastAsia="zh-CN"/>
              </w:rPr>
              <w:t>应用</w:t>
            </w:r>
          </w:p>
        </w:tc>
        <w:tc>
          <w:tcPr>
            <w:tcW w:w="3118" w:type="dxa"/>
            <w:vAlign w:val="center"/>
          </w:tcPr>
          <w:p>
            <w:pPr>
              <w:pStyle w:val="5"/>
              <w:spacing w:before="120" w:beforeLines="50" w:after="120" w:afterLines="50"/>
              <w:ind w:left="220" w:hanging="220" w:hangingChars="100"/>
              <w:rPr>
                <w:rFonts w:hAnsi="宋体" w:cs="宋体"/>
              </w:rPr>
            </w:pPr>
            <w:r>
              <w:rPr>
                <w:rStyle w:val="37"/>
                <w:rFonts w:hint="default"/>
              </w:rPr>
              <w:t>掌握</w:t>
            </w:r>
            <w:r>
              <w:rPr>
                <w:rStyle w:val="37"/>
                <w:rFonts w:hint="eastAsia"/>
                <w:lang w:val="en-US" w:eastAsia="zh-CN"/>
              </w:rPr>
              <w:t>外贸合同书面沟通交流的能力和水平</w:t>
            </w:r>
            <w:r>
              <w:rPr>
                <w:rFonts w:hint="eastAsia" w:hAnsi="宋体" w:cs="宋体"/>
              </w:rPr>
              <w:t>。</w:t>
            </w:r>
          </w:p>
        </w:tc>
      </w:tr>
    </w:tbl>
    <w:p>
      <w:pPr>
        <w:spacing w:before="120" w:beforeLines="50" w:after="120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>
      <w:pPr>
        <w:spacing w:before="120" w:beforeLines="50" w:after="120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pacing w:before="120" w:beforeLines="50" w:after="120" w:afterLines="50"/>
        <w:ind w:firstLine="482" w:firstLineChars="200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第一章 商业信函格式  Unit One Presentation and Layout of Business Letters</w:t>
      </w:r>
    </w:p>
    <w:p>
      <w:pPr>
        <w:spacing w:before="120" w:beforeLines="50" w:after="120" w:afterLines="50"/>
        <w:ind w:firstLine="480" w:firstLineChars="2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教学目标：（1）理解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外贸函电</w:t>
      </w:r>
      <w:r>
        <w:rPr>
          <w:rFonts w:hint="eastAsia" w:ascii="宋体" w:hAnsi="宋体" w:eastAsia="宋体" w:cs="宋体"/>
          <w:color w:val="000000"/>
          <w:szCs w:val="21"/>
        </w:rPr>
        <w:t>的重要性；（2）知晓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外贸函电</w:t>
      </w:r>
      <w:r>
        <w:rPr>
          <w:rFonts w:hint="eastAsia" w:ascii="宋体" w:hAnsi="宋体" w:eastAsia="宋体" w:cs="宋体"/>
          <w:color w:val="000000"/>
          <w:szCs w:val="21"/>
        </w:rPr>
        <w:t>的主要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框架</w:t>
      </w:r>
    </w:p>
    <w:p>
      <w:pPr>
        <w:spacing w:before="120" w:beforeLines="50" w:after="120" w:afterLines="50"/>
        <w:ind w:left="2160" w:leftChars="200" w:hanging="1680" w:hangingChars="7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外贸函电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写作的7个基本原则及其内在联系</w:t>
      </w:r>
      <w:r>
        <w:rPr>
          <w:rFonts w:hint="eastAsia" w:ascii="宋体" w:hAnsi="宋体" w:eastAsia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联系国际新格局，适应新变化，迎接新挑战。</w:t>
      </w:r>
    </w:p>
    <w:p>
      <w:pPr>
        <w:snapToGrid w:val="0"/>
        <w:ind w:firstLine="480" w:firstLineChars="20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商业信函写作原则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商业信函的组成部分</w:t>
      </w:r>
      <w:r>
        <w:rPr>
          <w:rFonts w:hint="eastAsia" w:ascii="宋体" w:hAnsi="宋体" w:eastAsia="宋体" w:cs="宋体"/>
          <w:color w:val="000000"/>
          <w:szCs w:val="21"/>
        </w:rPr>
        <w:t>（3）本书结构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举例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>
      <w:pPr>
        <w:spacing w:before="120" w:beforeLines="50" w:after="120" w:afterLines="50"/>
        <w:ind w:left="1920" w:leftChars="200" w:hanging="1440" w:hangingChars="6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ascii="宋体" w:hAnsi="宋体" w:eastAsia="宋体" w:cs="宋体"/>
          <w:color w:val="000000"/>
          <w:szCs w:val="21"/>
        </w:rPr>
        <w:t>5.</w:t>
      </w:r>
      <w:r>
        <w:rPr>
          <w:rFonts w:hint="eastAsia" w:ascii="宋体" w:hAnsi="宋体" w:eastAsia="宋体" w:cs="宋体"/>
          <w:color w:val="000000"/>
          <w:szCs w:val="21"/>
        </w:rPr>
        <w:t>教学评价：能</w:t>
      </w: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szCs w:val="24"/>
          <w14:textFill>
            <w14:solidFill>
              <w14:schemeClr w14:val="tx1"/>
            </w14:solidFill>
          </w14:textFill>
        </w:rPr>
        <w:t>正确呈现商业信函的必要组成部分和随机组成部分</w:t>
      </w: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szCs w:val="24"/>
          <w14:textFill>
            <w14:solidFill>
              <w14:schemeClr w14:val="tx1"/>
            </w14:solidFill>
          </w14:textFill>
        </w:rPr>
        <w:t>对符合规范的商业信函建立初步印象并运用到实际写作</w:t>
      </w: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jc w:val="both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第二章 询购 Unit Two  Inquiries 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掌握询购信的作用、内容及写作要点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掌握询购信函重点句型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掌握询购信中常用的专业术语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5.</w:t>
      </w:r>
      <w:r>
        <w:rPr>
          <w:rFonts w:hint="eastAsia" w:ascii="宋体" w:hAnsi="宋体" w:eastAsia="宋体" w:cs="宋体"/>
          <w:color w:val="000000"/>
          <w:szCs w:val="21"/>
        </w:rPr>
        <w:t>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/>
          <w:b w:val="0"/>
        </w:rPr>
        <w:t>询购信函写作技巧</w:t>
      </w:r>
    </w:p>
    <w:p>
      <w:pPr>
        <w:spacing w:before="120" w:beforeLines="50" w:after="120" w:afterLines="5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黑体" w:hAnsi="黑体" w:eastAsia="黑体"/>
          <w:b/>
        </w:rPr>
        <w:t xml:space="preserve"> </w:t>
      </w:r>
    </w:p>
    <w:p>
      <w:pPr>
        <w:pStyle w:val="5"/>
        <w:spacing w:before="120" w:beforeLines="50" w:after="120" w:afterLines="50"/>
        <w:rPr>
          <w:rFonts w:hint="eastAsia" w:hAnsi="宋体"/>
          <w:b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sz w:val="24"/>
          <w:szCs w:val="24"/>
        </w:rPr>
        <w:t xml:space="preserve">第三章 </w:t>
      </w:r>
      <w:r>
        <w:rPr>
          <w:rFonts w:hint="eastAsia" w:ascii="宋体" w:hAnsi="宋体"/>
        </w:rPr>
        <w:t xml:space="preserve"> </w:t>
      </w:r>
      <w:r>
        <w:rPr>
          <w:rFonts w:hint="eastAsia" w:hAnsi="宋体"/>
          <w:b/>
          <w:snapToGrid w:val="0"/>
          <w:color w:val="000000" w:themeColor="text1"/>
          <w14:textFill>
            <w14:solidFill>
              <w14:schemeClr w14:val="tx1"/>
            </w14:solidFill>
          </w14:textFill>
        </w:rPr>
        <w:t>复函与报价 Unit Three  Replies and Quotations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掌握复函与报价内容及写作要点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掌握复函与报价信函句型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掌握复函与报价常用专业术语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spacing w:before="120" w:beforeLines="50" w:after="120" w:afterLines="50"/>
        <w:ind w:firstLine="48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ascii="宋体" w:hAnsi="宋体" w:eastAsia="宋体" w:cs="宋体"/>
          <w:color w:val="000000"/>
          <w:szCs w:val="21"/>
        </w:rPr>
        <w:t>5.</w:t>
      </w:r>
      <w:r>
        <w:rPr>
          <w:rFonts w:hint="eastAsia" w:ascii="宋体" w:hAnsi="宋体" w:eastAsia="宋体" w:cs="宋体"/>
          <w:color w:val="000000"/>
          <w:szCs w:val="21"/>
        </w:rPr>
        <w:t>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 w:cs="宋体"/>
          <w:b w:val="0"/>
          <w:bCs/>
          <w:snapToGrid/>
        </w:rPr>
        <w:t>复函与报价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提高国际交流沟通能力和水平</w:t>
      </w:r>
      <w:r>
        <w:rPr>
          <w:rFonts w:hint="eastAsia" w:ascii="宋体" w:hAnsi="宋体" w:cs="宋体"/>
          <w:b w:val="0"/>
          <w:bCs/>
          <w:snapToGrid/>
        </w:rPr>
        <w:t>。</w:t>
      </w:r>
    </w:p>
    <w:p>
      <w:pPr>
        <w:pStyle w:val="5"/>
        <w:spacing w:before="120" w:beforeLines="50" w:after="120" w:afterLines="50"/>
        <w:rPr>
          <w:rFonts w:hint="eastAsia" w:ascii="黑体" w:hAnsi="黑体" w:eastAsia="黑体" w:cs="宋体"/>
          <w:b/>
          <w:sz w:val="24"/>
          <w:szCs w:val="24"/>
        </w:rPr>
      </w:pPr>
    </w:p>
    <w:p>
      <w:pPr>
        <w:pStyle w:val="5"/>
        <w:spacing w:before="120" w:beforeLines="50" w:after="120" w:afterLines="50"/>
        <w:rPr>
          <w:rFonts w:ascii="宋体" w:hAnsi="宋体"/>
        </w:rPr>
      </w:pPr>
      <w:r>
        <w:rPr>
          <w:rFonts w:hint="eastAsia" w:ascii="黑体" w:hAnsi="黑体" w:eastAsia="黑体" w:cs="宋体"/>
          <w:b/>
          <w:sz w:val="24"/>
          <w:szCs w:val="24"/>
        </w:rPr>
        <w:t xml:space="preserve">第四章 </w:t>
      </w:r>
      <w:r>
        <w:rPr>
          <w:rFonts w:hint="eastAsia" w:ascii="宋体" w:hAnsi="宋体" w:eastAsia="宋体" w:cs="Times New Roman"/>
          <w:b/>
          <w:snapToGrid w:val="0"/>
          <w:color w:val="000000" w:themeColor="text1"/>
          <w:kern w:val="2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订购与确认Unit Four  Orders and Acknowledgment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订购与确认</w:t>
      </w:r>
      <w:r>
        <w:rPr>
          <w:rFonts w:hint="eastAsia" w:ascii="宋体" w:hAnsi="宋体" w:cs="宋体"/>
          <w:b w:val="0"/>
          <w:bCs/>
          <w:snapToGrid/>
        </w:rPr>
        <w:t>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订购与确认</w:t>
      </w:r>
      <w:r>
        <w:rPr>
          <w:rFonts w:hint="eastAsia" w:ascii="宋体" w:hAnsi="宋体" w:cs="宋体"/>
          <w:b w:val="0"/>
          <w:bCs/>
          <w:snapToGrid/>
        </w:rPr>
        <w:t>信函句型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订购与确认</w:t>
      </w:r>
      <w:r>
        <w:rPr>
          <w:rFonts w:hint="eastAsia" w:ascii="宋体" w:hAnsi="宋体" w:cs="宋体"/>
          <w:b w:val="0"/>
          <w:bCs/>
          <w:snapToGrid/>
        </w:rPr>
        <w:t>常用专业术语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pStyle w:val="18"/>
        <w:spacing w:line="360" w:lineRule="auto"/>
        <w:ind w:firstLine="480" w:firstLineChars="200"/>
        <w:rPr>
          <w:rFonts w:hint="default" w:ascii="宋体" w:hAnsi="宋体" w:eastAsia="宋体"/>
          <w:b w:val="0"/>
          <w:lang w:val="en-US" w:eastAsia="zh-CN"/>
        </w:rPr>
      </w:pPr>
      <w:r>
        <w:rPr>
          <w:rFonts w:hint="eastAsia" w:ascii="宋体" w:hAnsi="宋体" w:eastAsia="宋体" w:cs="宋体"/>
          <w:b w:val="0"/>
          <w:snapToGrid/>
          <w:color w:val="000000"/>
          <w:sz w:val="24"/>
          <w:szCs w:val="21"/>
          <w:lang w:val="en-US" w:eastAsia="zh-CN" w:bidi="ar-SA"/>
        </w:rPr>
        <w:t>5.教学评价：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订购与确认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hint="eastAsia" w:ascii="宋体" w:hAnsi="宋体"/>
          <w:b w:val="0"/>
          <w:lang w:val="en-US" w:eastAsia="zh-CN"/>
        </w:rPr>
        <w:t>联系实际案例讲解变化要求。</w:t>
      </w:r>
    </w:p>
    <w:p>
      <w:pPr>
        <w:snapToGrid w:val="0"/>
        <w:jc w:val="both"/>
        <w:rPr>
          <w:rFonts w:ascii="宋体" w:hAnsi="宋体"/>
        </w:rPr>
      </w:pPr>
      <w:r>
        <w:rPr>
          <w:rFonts w:hint="eastAsia" w:ascii="宋体" w:hAnsi="宋体" w:eastAsia="宋体"/>
          <w:b/>
          <w:snapToGrid w:val="0"/>
          <w:color w:val="000000" w:themeColor="text1"/>
          <w:kern w:val="2"/>
          <w:sz w:val="21"/>
          <w:szCs w:val="20"/>
          <w14:textFill>
            <w14:solidFill>
              <w14:schemeClr w14:val="tx1"/>
            </w14:solidFill>
          </w14:textFill>
        </w:rPr>
        <w:t xml:space="preserve">第五章 </w:t>
      </w:r>
      <w:r>
        <w:rPr>
          <w:rFonts w:hint="eastAsia" w:ascii="宋体" w:hAnsi="宋体" w:eastAsia="宋体" w:cs="Times New Roman"/>
          <w:b/>
          <w:snapToGrid w:val="0"/>
          <w:color w:val="000000" w:themeColor="text1"/>
          <w:kern w:val="2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保险 Unit Five  Insurance 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保险条款</w:t>
      </w:r>
      <w:r>
        <w:rPr>
          <w:rFonts w:hint="eastAsia" w:ascii="宋体" w:hAnsi="宋体" w:cs="宋体"/>
          <w:b w:val="0"/>
          <w:bCs/>
          <w:snapToGrid/>
        </w:rPr>
        <w:t>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保险</w:t>
      </w:r>
      <w:r>
        <w:rPr>
          <w:rFonts w:hint="eastAsia" w:ascii="宋体" w:hAnsi="宋体" w:cs="宋体"/>
          <w:b w:val="0"/>
          <w:bCs/>
          <w:snapToGrid/>
        </w:rPr>
        <w:t>信函句型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保险条款</w:t>
      </w:r>
      <w:r>
        <w:rPr>
          <w:rFonts w:hint="eastAsia" w:ascii="宋体" w:hAnsi="宋体" w:cs="宋体"/>
          <w:b w:val="0"/>
          <w:bCs/>
          <w:snapToGrid/>
        </w:rPr>
        <w:t>常用专业术语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pStyle w:val="18"/>
        <w:spacing w:line="360" w:lineRule="auto"/>
        <w:ind w:firstLine="480" w:firstLineChars="2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snapToGrid/>
          <w:color w:val="000000"/>
          <w:sz w:val="24"/>
          <w:szCs w:val="21"/>
          <w:lang w:val="en-US" w:eastAsia="zh-CN" w:bidi="ar-SA"/>
        </w:rPr>
        <w:t>5.教学评价：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保险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提高国际交流沟通能力和水平</w:t>
      </w:r>
      <w:r>
        <w:rPr>
          <w:rFonts w:hint="eastAsia" w:ascii="宋体" w:hAnsi="宋体" w:cs="宋体"/>
          <w:b w:val="0"/>
          <w:bCs/>
          <w:snapToGrid/>
        </w:rPr>
        <w:t>。</w:t>
      </w:r>
    </w:p>
    <w:p>
      <w:pPr>
        <w:pStyle w:val="18"/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  <w:t>第六章 包装  Unit Six  Packing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包装条款</w:t>
      </w:r>
      <w:r>
        <w:rPr>
          <w:rFonts w:hint="eastAsia" w:ascii="宋体" w:hAnsi="宋体" w:cs="宋体"/>
          <w:b w:val="0"/>
          <w:bCs/>
          <w:snapToGrid/>
        </w:rPr>
        <w:t>作用、内容及写作要点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包装</w:t>
      </w:r>
      <w:r>
        <w:rPr>
          <w:rFonts w:hint="eastAsia" w:ascii="宋体" w:hAnsi="宋体" w:cs="宋体"/>
          <w:b w:val="0"/>
          <w:bCs/>
          <w:snapToGrid/>
        </w:rPr>
        <w:t>重点句型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包装</w:t>
      </w:r>
      <w:r>
        <w:rPr>
          <w:rFonts w:hint="eastAsia" w:ascii="宋体" w:hAnsi="宋体" w:cs="宋体"/>
          <w:b w:val="0"/>
          <w:bCs/>
          <w:snapToGrid/>
        </w:rPr>
        <w:t>常用的专业术语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spacing w:before="120" w:beforeLines="50" w:after="120" w:afterLines="50"/>
        <w:ind w:firstLine="480" w:firstLineChars="2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/>
          <w:szCs w:val="21"/>
        </w:rPr>
        <w:t>5.</w:t>
      </w:r>
      <w:r>
        <w:rPr>
          <w:rFonts w:hint="eastAsia" w:ascii="宋体" w:hAnsi="宋体" w:eastAsia="宋体" w:cs="宋体"/>
          <w:color w:val="000000"/>
          <w:szCs w:val="21"/>
        </w:rPr>
        <w:t>教学评价：</w:t>
      </w:r>
      <w:r>
        <w:rPr>
          <w:rFonts w:hint="eastAsia" w:ascii="宋体" w:hAnsi="宋体" w:eastAsia="宋体"/>
          <w:b w:val="0"/>
          <w:lang w:val="en-US" w:eastAsia="zh-CN"/>
        </w:rPr>
        <w:t>熟练掌握包装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hint="eastAsia" w:ascii="宋体" w:hAnsi="宋体"/>
          <w:b w:val="0"/>
          <w:lang w:val="en-US" w:eastAsia="zh-CN"/>
        </w:rPr>
        <w:t>强调绿色环保要求。</w:t>
      </w:r>
    </w:p>
    <w:p>
      <w:pPr>
        <w:ind w:firstLine="480" w:firstLineChars="2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8"/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  <w:t>第七章 运输 Unit Seven  Transportation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运输条款</w:t>
      </w:r>
      <w:r>
        <w:rPr>
          <w:rFonts w:hint="eastAsia" w:ascii="宋体" w:hAnsi="宋体" w:cs="宋体"/>
          <w:b w:val="0"/>
          <w:bCs/>
          <w:snapToGrid/>
        </w:rPr>
        <w:t>作用、内容及写作要点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运输</w:t>
      </w:r>
      <w:r>
        <w:rPr>
          <w:rFonts w:hint="eastAsia" w:ascii="宋体" w:hAnsi="宋体" w:cs="宋体"/>
          <w:b w:val="0"/>
          <w:bCs/>
          <w:snapToGrid/>
        </w:rPr>
        <w:t>重点句型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运输</w:t>
      </w:r>
      <w:r>
        <w:rPr>
          <w:rFonts w:hint="eastAsia" w:ascii="宋体" w:hAnsi="宋体" w:cs="宋体"/>
          <w:b w:val="0"/>
          <w:bCs/>
          <w:snapToGrid/>
        </w:rPr>
        <w:t>常用的专业术语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spacing w:before="120" w:beforeLines="50" w:after="120" w:afterLines="50"/>
        <w:ind w:firstLine="480" w:firstLineChars="200"/>
        <w:rPr>
          <w:rFonts w:hint="eastAsia" w:ascii="宋体" w:hAnsi="宋体"/>
          <w:b w:val="0"/>
          <w:lang w:val="en-US" w:eastAsia="zh-CN"/>
        </w:rPr>
      </w:pPr>
      <w:r>
        <w:rPr>
          <w:rFonts w:ascii="宋体" w:hAnsi="宋体" w:eastAsia="宋体" w:cs="宋体"/>
          <w:color w:val="000000"/>
          <w:szCs w:val="21"/>
        </w:rPr>
        <w:t>5.</w:t>
      </w:r>
      <w:r>
        <w:rPr>
          <w:rFonts w:hint="eastAsia" w:ascii="宋体" w:hAnsi="宋体" w:eastAsia="宋体" w:cs="宋体"/>
          <w:color w:val="000000"/>
          <w:szCs w:val="21"/>
        </w:rPr>
        <w:t>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运输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hint="eastAsia" w:ascii="宋体" w:hAnsi="宋体"/>
          <w:b w:val="0"/>
          <w:lang w:val="en-US" w:eastAsia="zh-CN"/>
        </w:rPr>
        <w:t>强调现代运输多样化要求。</w:t>
      </w:r>
    </w:p>
    <w:p>
      <w:pPr>
        <w:spacing w:before="120" w:beforeLines="50" w:after="120" w:afterLines="50"/>
        <w:ind w:firstLine="480" w:firstLineChars="200"/>
        <w:rPr>
          <w:rFonts w:hint="eastAsia" w:ascii="宋体" w:hAnsi="宋体"/>
          <w:b w:val="0"/>
          <w:lang w:val="en-US" w:eastAsia="zh-CN"/>
        </w:rPr>
      </w:pPr>
    </w:p>
    <w:p>
      <w:pPr>
        <w:pStyle w:val="18"/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  <w:t>第八章 信用证付款  Unit Eight  Payment by L/C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支付条款信用证</w:t>
      </w:r>
      <w:r>
        <w:rPr>
          <w:rFonts w:hint="eastAsia" w:ascii="宋体" w:hAnsi="宋体" w:cs="宋体"/>
          <w:b w:val="0"/>
          <w:bCs/>
          <w:snapToGrid/>
        </w:rPr>
        <w:t>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L/C支付</w:t>
      </w:r>
      <w:r>
        <w:rPr>
          <w:rFonts w:hint="eastAsia" w:ascii="宋体" w:hAnsi="宋体" w:cs="宋体"/>
          <w:b w:val="0"/>
          <w:bCs/>
          <w:snapToGrid/>
        </w:rPr>
        <w:t>重点句型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L/C支付</w:t>
      </w:r>
      <w:r>
        <w:rPr>
          <w:rFonts w:hint="eastAsia" w:ascii="宋体" w:hAnsi="宋体" w:cs="宋体"/>
          <w:b w:val="0"/>
          <w:bCs/>
          <w:snapToGrid/>
        </w:rPr>
        <w:t>常用的专业术语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L/C</w:t>
      </w:r>
      <w:r>
        <w:rPr>
          <w:rFonts w:hint="eastAsia" w:ascii="宋体" w:hAnsi="宋体" w:cs="宋体"/>
          <w:b w:val="0"/>
          <w:bCs/>
          <w:snapToGrid/>
        </w:rPr>
        <w:t>信函写作中常用词汇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spacing w:before="120" w:beforeLines="50" w:after="120" w:afterLines="50"/>
        <w:ind w:firstLine="480" w:firstLineChars="200"/>
        <w:rPr>
          <w:rFonts w:hint="eastAsia" w:ascii="宋体" w:hAnsi="宋体"/>
          <w:b w:val="0"/>
          <w:lang w:val="en-US" w:eastAsia="zh-CN"/>
        </w:rPr>
      </w:pPr>
      <w:r>
        <w:rPr>
          <w:rFonts w:ascii="宋体" w:hAnsi="宋体" w:eastAsia="宋体" w:cs="宋体"/>
          <w:color w:val="000000"/>
          <w:szCs w:val="21"/>
        </w:rPr>
        <w:t>5.</w:t>
      </w:r>
      <w:r>
        <w:rPr>
          <w:rFonts w:hint="eastAsia" w:ascii="宋体" w:hAnsi="宋体" w:eastAsia="宋体" w:cs="宋体"/>
          <w:color w:val="000000"/>
          <w:szCs w:val="21"/>
        </w:rPr>
        <w:t>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L/C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ascii="宋体" w:hAnsi="宋体"/>
          <w:b w:val="0"/>
        </w:rPr>
        <w:t>通过实例为中国银行</w:t>
      </w:r>
      <w:r>
        <w:rPr>
          <w:rFonts w:hint="eastAsia" w:ascii="宋体" w:hAnsi="宋体" w:eastAsia="宋体"/>
          <w:b w:val="0"/>
          <w:lang w:val="en-US" w:eastAsia="zh-CN"/>
        </w:rPr>
        <w:t>及</w:t>
      </w:r>
      <w:r>
        <w:rPr>
          <w:rFonts w:ascii="宋体" w:hAnsi="宋体"/>
          <w:b w:val="0"/>
        </w:rPr>
        <w:t>企业解读解决方案</w:t>
      </w:r>
      <w:r>
        <w:rPr>
          <w:rFonts w:hint="eastAsia" w:ascii="宋体" w:hAnsi="宋体"/>
          <w:b w:val="0"/>
        </w:rPr>
        <w:t>。</w:t>
      </w:r>
    </w:p>
    <w:p>
      <w:pPr>
        <w:pStyle w:val="18"/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</w:p>
    <w:p>
      <w:pPr>
        <w:pStyle w:val="18"/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  <w:t xml:space="preserve">第九章 其他付款方式  Unit Nine  Other Modes of Payment 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其他支付条款信用证</w:t>
      </w:r>
      <w:r>
        <w:rPr>
          <w:rFonts w:hint="eastAsia" w:ascii="宋体" w:hAnsi="宋体" w:cs="宋体"/>
          <w:b w:val="0"/>
          <w:bCs/>
          <w:snapToGrid/>
        </w:rPr>
        <w:t>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其他支付</w:t>
      </w:r>
      <w:r>
        <w:rPr>
          <w:rFonts w:hint="eastAsia" w:ascii="宋体" w:hAnsi="宋体" w:cs="宋体"/>
          <w:b w:val="0"/>
          <w:bCs/>
          <w:snapToGrid/>
        </w:rPr>
        <w:t>重点句型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>其他支付</w:t>
      </w:r>
      <w:r>
        <w:rPr>
          <w:rFonts w:hint="eastAsia" w:ascii="宋体" w:hAnsi="宋体" w:cs="宋体"/>
          <w:b w:val="0"/>
          <w:bCs/>
          <w:snapToGrid/>
        </w:rPr>
        <w:t>常用的专业术语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其他</w:t>
      </w:r>
      <w:r>
        <w:rPr>
          <w:rFonts w:hint="eastAsia" w:ascii="宋体" w:hAnsi="宋体" w:cs="宋体"/>
          <w:b w:val="0"/>
          <w:bCs/>
          <w:snapToGrid/>
        </w:rPr>
        <w:t>信函写作中常用词汇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pStyle w:val="18"/>
        <w:rPr>
          <w:rFonts w:ascii="宋体" w:hAnsi="宋体"/>
        </w:rPr>
      </w:pPr>
      <w:r>
        <w:rPr>
          <w:rFonts w:ascii="宋体" w:hAnsi="宋体" w:eastAsia="宋体" w:cs="宋体"/>
          <w:b w:val="0"/>
          <w:bCs/>
          <w:color w:val="000000"/>
          <w:szCs w:val="21"/>
        </w:rPr>
        <w:t>5.</w:t>
      </w:r>
      <w:r>
        <w:rPr>
          <w:rFonts w:hint="eastAsia" w:ascii="宋体" w:hAnsi="宋体" w:eastAsia="宋体" w:cs="宋体"/>
          <w:b w:val="0"/>
          <w:bCs/>
          <w:color w:val="000000"/>
          <w:szCs w:val="21"/>
        </w:rPr>
        <w:t>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其他支付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ascii="宋体" w:hAnsi="宋体"/>
          <w:b w:val="0"/>
        </w:rPr>
        <w:t>通过实例</w:t>
      </w:r>
      <w:r>
        <w:rPr>
          <w:rFonts w:hint="eastAsia" w:ascii="宋体" w:hAnsi="宋体"/>
          <w:b w:val="0"/>
          <w:lang w:val="en-US" w:eastAsia="zh-CN"/>
        </w:rPr>
        <w:t>提供</w:t>
      </w:r>
      <w:r>
        <w:rPr>
          <w:rFonts w:ascii="宋体" w:hAnsi="宋体"/>
          <w:b w:val="0"/>
        </w:rPr>
        <w:t>解决</w:t>
      </w:r>
      <w:r>
        <w:rPr>
          <w:rFonts w:hint="eastAsia" w:ascii="宋体" w:hAnsi="宋体"/>
          <w:b w:val="0"/>
          <w:lang w:val="en-US" w:eastAsia="zh-CN"/>
        </w:rPr>
        <w:t>参考</w:t>
      </w:r>
      <w:r>
        <w:rPr>
          <w:rFonts w:ascii="宋体" w:hAnsi="宋体"/>
          <w:b w:val="0"/>
        </w:rPr>
        <w:t>方案</w:t>
      </w:r>
      <w:r>
        <w:rPr>
          <w:rFonts w:hint="eastAsia" w:ascii="宋体" w:hAnsi="宋体"/>
          <w:b w:val="0"/>
        </w:rPr>
        <w:t>。</w:t>
      </w:r>
    </w:p>
    <w:p>
      <w:pPr>
        <w:pStyle w:val="18"/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</w:p>
    <w:p>
      <w:pPr>
        <w:pStyle w:val="18"/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  <w:t>第十章 投诉和处理  Unit Ten  Complaints and Adjustment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投诉和处理</w:t>
      </w:r>
      <w:r>
        <w:rPr>
          <w:rFonts w:hint="eastAsia" w:ascii="宋体" w:hAnsi="宋体" w:cs="宋体"/>
          <w:b w:val="0"/>
          <w:bCs/>
          <w:snapToGrid/>
        </w:rPr>
        <w:t>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投诉和处理</w:t>
      </w:r>
      <w:r>
        <w:rPr>
          <w:rFonts w:hint="eastAsia" w:ascii="宋体" w:hAnsi="宋体" w:cs="宋体"/>
          <w:b w:val="0"/>
          <w:bCs/>
          <w:snapToGrid/>
        </w:rPr>
        <w:t>信函句型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投诉和处理</w:t>
      </w:r>
      <w:r>
        <w:rPr>
          <w:rFonts w:hint="eastAsia" w:ascii="宋体" w:hAnsi="宋体" w:cs="宋体"/>
          <w:b w:val="0"/>
          <w:bCs/>
          <w:snapToGrid/>
        </w:rPr>
        <w:t>常用专业术语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pStyle w:val="18"/>
        <w:spacing w:line="360" w:lineRule="auto"/>
        <w:ind w:firstLine="480" w:firstLineChars="2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snapToGrid/>
          <w:color w:val="000000"/>
          <w:sz w:val="24"/>
          <w:szCs w:val="21"/>
          <w:lang w:val="en-US" w:eastAsia="zh-CN" w:bidi="ar-SA"/>
        </w:rPr>
        <w:t>5.教学评价：</w:t>
      </w:r>
      <w:r>
        <w:rPr>
          <w:rFonts w:hint="eastAsia" w:ascii="宋体" w:hAnsi="宋体" w:eastAsia="宋体"/>
          <w:b w:val="0"/>
          <w:lang w:val="en-US" w:eastAsia="zh-CN"/>
        </w:rPr>
        <w:t>熟练掌握投诉和处理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提高国际交流沟通能力和水平</w:t>
      </w:r>
      <w:r>
        <w:rPr>
          <w:rFonts w:hint="eastAsia" w:ascii="宋体" w:hAnsi="宋体" w:cs="宋体"/>
          <w:b w:val="0"/>
          <w:bCs/>
          <w:snapToGrid/>
        </w:rPr>
        <w:t>。</w:t>
      </w:r>
    </w:p>
    <w:p>
      <w:pP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  <w:t>第十一章 代理 Unit Eleven  Agencies</w:t>
      </w:r>
    </w:p>
    <w:p>
      <w:pPr>
        <w:rPr>
          <w:rFonts w:hint="eastAsia" w:ascii="黑体" w:hAnsi="黑体" w:eastAsia="黑体" w:cs="Times New Roman"/>
          <w:b/>
          <w:snapToGrid/>
          <w:color w:val="auto"/>
          <w:sz w:val="24"/>
          <w:szCs w:val="24"/>
          <w:lang w:val="en-US" w:eastAsia="zh-CN" w:bidi="ar-SA"/>
        </w:rPr>
      </w:pP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1.</w:t>
      </w:r>
      <w:r>
        <w:rPr>
          <w:rFonts w:hint="eastAsia" w:ascii="宋体" w:hAnsi="宋体" w:eastAsia="宋体" w:cs="宋体"/>
          <w:color w:val="000000"/>
          <w:szCs w:val="21"/>
        </w:rPr>
        <w:t>教学目标：（</w:t>
      </w:r>
      <w:r>
        <w:rPr>
          <w:rFonts w:ascii="宋体" w:hAnsi="宋体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代理作用、</w:t>
      </w:r>
      <w:r>
        <w:rPr>
          <w:rFonts w:hint="eastAsia" w:ascii="宋体" w:hAnsi="宋体" w:cs="宋体"/>
          <w:b w:val="0"/>
          <w:bCs/>
          <w:snapToGrid/>
        </w:rPr>
        <w:t>内容及写作要点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代理</w:t>
      </w:r>
      <w:r>
        <w:rPr>
          <w:rFonts w:hint="eastAsia" w:ascii="宋体" w:hAnsi="宋体" w:cs="宋体"/>
          <w:b w:val="0"/>
          <w:bCs/>
          <w:snapToGrid/>
        </w:rPr>
        <w:t>信函句型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2.</w:t>
      </w:r>
      <w:r>
        <w:rPr>
          <w:rFonts w:hint="eastAsia" w:ascii="宋体" w:hAnsi="宋体" w:eastAsia="宋体" w:cs="宋体"/>
          <w:color w:val="000000"/>
          <w:szCs w:val="21"/>
        </w:rPr>
        <w:t>教学重难点：（1）</w:t>
      </w:r>
      <w:r>
        <w:rPr>
          <w:rFonts w:hint="eastAsia" w:ascii="宋体" w:hAnsi="宋体" w:cs="宋体"/>
          <w:b w:val="0"/>
          <w:bCs/>
          <w:snapToGrid/>
        </w:rPr>
        <w:t>掌握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代理</w:t>
      </w:r>
      <w:r>
        <w:rPr>
          <w:rFonts w:hint="eastAsia" w:ascii="宋体" w:hAnsi="宋体" w:cs="宋体"/>
          <w:b w:val="0"/>
          <w:bCs/>
          <w:snapToGrid/>
        </w:rPr>
        <w:t>常用专业术语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hint="eastAsia" w:ascii="宋体" w:hAnsi="宋体" w:cs="宋体"/>
          <w:b w:val="0"/>
          <w:bCs/>
          <w:snapToGrid/>
        </w:rPr>
        <w:t>信函写作中常用词汇含义</w:t>
      </w:r>
    </w:p>
    <w:p>
      <w:pPr>
        <w:snapToGrid w:val="0"/>
        <w:ind w:left="1920" w:leftChars="200" w:hanging="1440" w:hangingChars="600"/>
        <w:jc w:val="both"/>
        <w:rPr>
          <w:rFonts w:ascii="宋体" w:hAnsi="宋体" w:cs="宋体"/>
          <w:b w:val="0"/>
          <w:bCs/>
          <w:snapToGrid/>
        </w:rPr>
      </w:pPr>
      <w:r>
        <w:rPr>
          <w:rFonts w:ascii="宋体" w:hAnsi="宋体" w:eastAsia="宋体" w:cs="宋体"/>
          <w:color w:val="000000"/>
          <w:szCs w:val="21"/>
        </w:rPr>
        <w:t>3.</w:t>
      </w:r>
      <w:r>
        <w:rPr>
          <w:rFonts w:hint="eastAsia" w:ascii="宋体" w:hAnsi="宋体" w:eastAsia="宋体" w:cs="宋体"/>
          <w:color w:val="000000"/>
          <w:szCs w:val="21"/>
        </w:rPr>
        <w:t>教学内容：（1）</w:t>
      </w:r>
      <w:r>
        <w:rPr>
          <w:rFonts w:ascii="宋体" w:hAnsi="宋体" w:cs="宋体"/>
          <w:b w:val="0"/>
          <w:bCs/>
          <w:snapToGrid/>
        </w:rPr>
        <w:t xml:space="preserve">Into the Unit </w:t>
      </w:r>
      <w:r>
        <w:rPr>
          <w:rFonts w:hint="eastAsia" w:ascii="宋体" w:hAnsi="宋体" w:eastAsia="宋体" w:cs="宋体"/>
          <w:b w:val="0"/>
          <w:bCs/>
          <w:snapToGrid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</w:rPr>
        <w:t>（2）</w:t>
      </w:r>
      <w:r>
        <w:rPr>
          <w:rFonts w:ascii="宋体" w:hAnsi="宋体" w:cs="宋体"/>
          <w:b w:val="0"/>
          <w:bCs/>
          <w:snapToGrid/>
        </w:rPr>
        <w:t>Specimen Letters</w:t>
      </w:r>
    </w:p>
    <w:p>
      <w:pPr>
        <w:snapToGrid w:val="0"/>
        <w:ind w:left="1920" w:leftChars="800" w:firstLine="0" w:firstLineChars="0"/>
        <w:jc w:val="both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</w:t>
      </w:r>
      <w:r>
        <w:rPr>
          <w:rFonts w:ascii="宋体" w:hAnsi="宋体" w:cs="宋体"/>
          <w:b w:val="0"/>
          <w:bCs/>
          <w:snapToGrid/>
        </w:rPr>
        <w:t>Word Power Development</w:t>
      </w:r>
      <w:r>
        <w:rPr>
          <w:rFonts w:hint="eastAsia" w:ascii="宋体" w:hAnsi="宋体" w:eastAsia="宋体" w:cs="宋体"/>
          <w:color w:val="000000"/>
          <w:szCs w:val="21"/>
        </w:rPr>
        <w:t>（4）</w:t>
      </w:r>
      <w:r>
        <w:rPr>
          <w:rFonts w:ascii="宋体" w:hAnsi="宋体" w:cs="宋体"/>
          <w:b w:val="0"/>
          <w:bCs/>
          <w:snapToGrid/>
        </w:rPr>
        <w:t>Sentence Menu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ascii="宋体" w:hAnsi="宋体" w:eastAsia="宋体" w:cs="宋体"/>
          <w:color w:val="000000"/>
          <w:szCs w:val="21"/>
        </w:rPr>
        <w:t>4.</w:t>
      </w:r>
      <w:r>
        <w:rPr>
          <w:rFonts w:hint="eastAsia" w:ascii="宋体" w:hAnsi="宋体" w:eastAsia="宋体" w:cs="宋体"/>
          <w:color w:val="000000"/>
          <w:szCs w:val="21"/>
        </w:rPr>
        <w:t>教学方法：讲授、讨论、举例。</w:t>
      </w:r>
    </w:p>
    <w:p>
      <w:pPr>
        <w:pStyle w:val="18"/>
        <w:spacing w:line="360" w:lineRule="auto"/>
        <w:ind w:firstLine="480" w:firstLineChars="2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snapToGrid/>
          <w:color w:val="000000"/>
          <w:sz w:val="24"/>
          <w:szCs w:val="21"/>
          <w:lang w:val="en-US" w:eastAsia="zh-CN" w:bidi="ar-SA"/>
        </w:rPr>
        <w:t>5.教学评价：</w:t>
      </w:r>
      <w:r>
        <w:rPr>
          <w:rFonts w:hint="eastAsia" w:ascii="宋体" w:hAnsi="宋体" w:eastAsia="宋体"/>
          <w:b w:val="0"/>
          <w:lang w:val="en-US" w:eastAsia="zh-CN"/>
        </w:rPr>
        <w:t>熟练掌握</w:t>
      </w:r>
      <w:r>
        <w:rPr>
          <w:rFonts w:hint="eastAsia" w:ascii="宋体" w:hAnsi="宋体"/>
          <w:b w:val="0"/>
          <w:lang w:val="en-US" w:eastAsia="zh-CN"/>
        </w:rPr>
        <w:t>代理</w:t>
      </w:r>
      <w:r>
        <w:rPr>
          <w:rFonts w:hint="eastAsia" w:ascii="宋体" w:hAnsi="宋体"/>
          <w:b w:val="0"/>
        </w:rPr>
        <w:t>信函写作技巧</w:t>
      </w:r>
      <w:r>
        <w:rPr>
          <w:rFonts w:hint="eastAsia" w:ascii="宋体" w:hAnsi="宋体" w:eastAsia="宋体"/>
          <w:b w:val="0"/>
          <w:lang w:eastAsia="zh-CN"/>
        </w:rPr>
        <w:t>，</w:t>
      </w:r>
      <w:r>
        <w:rPr>
          <w:rFonts w:hint="eastAsia" w:ascii="宋体" w:hAnsi="宋体" w:cs="宋体"/>
          <w:b w:val="0"/>
          <w:bCs/>
          <w:snapToGrid/>
          <w:lang w:val="en-US" w:eastAsia="zh-CN"/>
        </w:rPr>
        <w:t>提高国际交流沟通水平和能力</w:t>
      </w:r>
      <w:r>
        <w:rPr>
          <w:rFonts w:hint="eastAsia" w:ascii="宋体" w:hAnsi="宋体" w:cs="宋体"/>
          <w:b w:val="0"/>
          <w:bCs/>
          <w:snapToGrid/>
        </w:rPr>
        <w:t>。</w:t>
      </w:r>
    </w:p>
    <w:p>
      <w:pPr>
        <w:ind w:firstLine="482" w:firstLineChars="200"/>
        <w:rPr>
          <w:rFonts w:ascii="黑体" w:hAnsi="黑体" w:eastAsia="黑体" w:cs="宋体"/>
          <w:b/>
        </w:rPr>
      </w:pPr>
    </w:p>
    <w:p>
      <w:pPr>
        <w:spacing w:before="120" w:beforeLines="50" w:after="120" w:afterLines="50"/>
        <w:ind w:firstLine="562" w:firstLineChars="200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spacing w:before="120" w:beforeLines="50" w:after="120" w:afterLines="50"/>
        <w:jc w:val="center"/>
        <w:rPr>
          <w:rFonts w:ascii="黑体" w:hAnsi="黑体" w:eastAsia="黑体"/>
          <w:b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1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751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第一章 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商业信函格式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第二章 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询购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第三章 </w:t>
            </w:r>
          </w:p>
        </w:tc>
        <w:tc>
          <w:tcPr>
            <w:tcW w:w="3751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复函与报价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第四章 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订购与确认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第五章 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保险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第六章 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包装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第七章 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运输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信用证付款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他付款方式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第十章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 xml:space="preserve"> 投诉及处理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第十一章</w:t>
            </w:r>
          </w:p>
        </w:tc>
        <w:tc>
          <w:tcPr>
            <w:tcW w:w="3751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1780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</w:tbl>
    <w:p>
      <w:pPr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>
      <w:pPr>
        <w:ind w:firstLine="562" w:firstLineChars="200"/>
        <w:rPr>
          <w:rFonts w:ascii="黑体" w:hAnsi="黑体" w:eastAsia="黑体" w:cs="宋体"/>
          <w:b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spacing w:before="120" w:beforeLines="50" w:after="120" w:afterLines="50"/>
        <w:jc w:val="center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p>
      <w:pPr>
        <w:spacing w:before="120" w:beforeLines="50" w:after="120" w:afterLines="50"/>
        <w:jc w:val="center"/>
        <w:rPr>
          <w:rFonts w:hint="eastAsia" w:ascii="宋体" w:hAnsi="宋体" w:eastAsia="宋体"/>
          <w:b/>
          <w:szCs w:val="21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40"/>
        <w:gridCol w:w="3281"/>
        <w:gridCol w:w="558"/>
        <w:gridCol w:w="3379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周次</w:t>
            </w:r>
          </w:p>
        </w:tc>
        <w:tc>
          <w:tcPr>
            <w:tcW w:w="282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日期</w:t>
            </w: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章节名称</w:t>
            </w: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</w:rPr>
              <w:t>授课时数</w:t>
            </w:r>
          </w:p>
        </w:tc>
        <w:tc>
          <w:tcPr>
            <w:tcW w:w="176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内容提要</w:t>
            </w:r>
          </w:p>
        </w:tc>
        <w:tc>
          <w:tcPr>
            <w:tcW w:w="580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作业及要求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第一章 商业信函格式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Unit One Presentation and Layout of Business Letters</w:t>
            </w:r>
          </w:p>
        </w:tc>
        <w:tc>
          <w:tcPr>
            <w:tcW w:w="291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6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/>
              </w:rPr>
              <w:t>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正确呈现商业信函的布局格式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商业信函写作原则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同时，根据国际形势灵活发展，我们外向型经济进一步可持续发展。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第二章 询购</w:t>
            </w:r>
          </w:p>
        </w:tc>
        <w:tc>
          <w:tcPr>
            <w:tcW w:w="291" w:type="pct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</w:t>
            </w:r>
            <w:r>
              <w:rPr>
                <w:rFonts w:hint="eastAsia" w:ascii="宋体" w:hAnsi="宋体" w:cs="宋体"/>
                <w:b w:val="0"/>
              </w:rPr>
              <w:t>询购</w:t>
            </w:r>
            <w:r>
              <w:rPr>
                <w:rFonts w:hint="eastAsia" w:ascii="宋体" w:hAnsi="宋体"/>
                <w:b w:val="0"/>
              </w:rPr>
              <w:t>写作技巧。</w:t>
            </w:r>
          </w:p>
        </w:tc>
        <w:tc>
          <w:tcPr>
            <w:tcW w:w="580" w:type="pct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cs="宋体"/>
                <w:b w:val="0"/>
              </w:rPr>
              <w:t>询购</w:t>
            </w:r>
            <w:r>
              <w:rPr>
                <w:rFonts w:hint="eastAsia" w:ascii="宋体" w:hAnsi="宋体"/>
                <w:b w:val="0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Unit Two Inquiries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提高</w:t>
            </w:r>
            <w:r>
              <w:rPr>
                <w:rFonts w:hint="eastAsia" w:ascii="宋体" w:hAnsi="宋体" w:eastAsia="宋体" w:cs="宋体"/>
              </w:rPr>
              <w:t>询购</w:t>
            </w:r>
            <w:r>
              <w:rPr>
                <w:rFonts w:hint="eastAsia" w:ascii="宋体" w:hAnsi="宋体"/>
              </w:rPr>
              <w:t>写作技巧。</w:t>
            </w:r>
          </w:p>
        </w:tc>
        <w:tc>
          <w:tcPr>
            <w:tcW w:w="580" w:type="pct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</w:rPr>
              <w:t>询购</w:t>
            </w:r>
            <w:r>
              <w:rPr>
                <w:rFonts w:hint="eastAsia" w:ascii="宋体" w:hAnsi="宋体"/>
              </w:rPr>
              <w:t>写作技巧。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第三章 复函与报价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</w:t>
            </w:r>
            <w:r>
              <w:rPr>
                <w:rFonts w:hint="eastAsia" w:ascii="宋体" w:hAnsi="宋体" w:cs="宋体"/>
                <w:b w:val="0"/>
              </w:rPr>
              <w:t>复函</w:t>
            </w:r>
            <w:r>
              <w:rPr>
                <w:rFonts w:hint="eastAsia" w:ascii="宋体" w:hAnsi="宋体"/>
                <w:b w:val="0"/>
              </w:rPr>
              <w:t>写作技巧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提高应用</w:t>
            </w:r>
            <w:r>
              <w:rPr>
                <w:rFonts w:hint="eastAsia" w:ascii="宋体" w:hAnsi="宋体" w:cs="宋体"/>
                <w:b w:val="0"/>
              </w:rPr>
              <w:t>复函</w:t>
            </w:r>
            <w:r>
              <w:rPr>
                <w:rFonts w:hint="eastAsia" w:ascii="宋体" w:hAnsi="宋体"/>
                <w:b w:val="0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Unit Three Replies and Quotations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提高</w:t>
            </w: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/>
              </w:rPr>
              <w:t>写作技巧</w:t>
            </w:r>
          </w:p>
        </w:tc>
        <w:tc>
          <w:tcPr>
            <w:tcW w:w="580" w:type="pct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第四章 订购与确认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</w:t>
            </w:r>
            <w:r>
              <w:rPr>
                <w:rFonts w:hint="eastAsia" w:ascii="宋体" w:hAnsi="宋体" w:cs="宋体"/>
                <w:b w:val="0"/>
              </w:rPr>
              <w:t>订购</w:t>
            </w:r>
            <w:r>
              <w:rPr>
                <w:rFonts w:hint="eastAsia" w:ascii="宋体" w:hAnsi="宋体"/>
                <w:b w:val="0"/>
              </w:rPr>
              <w:t>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cs="宋体"/>
                <w:b w:val="0"/>
              </w:rPr>
              <w:t>订购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Unit Five Orders and Acknowledgement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提高</w:t>
            </w:r>
            <w:r>
              <w:rPr>
                <w:rFonts w:hint="eastAsia" w:ascii="宋体" w:hAnsi="宋体" w:eastAsia="宋体" w:cs="宋体"/>
              </w:rPr>
              <w:t>订购确认</w:t>
            </w:r>
            <w:r>
              <w:rPr>
                <w:rFonts w:hint="eastAsia" w:ascii="宋体" w:hAnsi="宋体"/>
              </w:rPr>
              <w:t>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cs="宋体"/>
                <w:b w:val="0"/>
              </w:rPr>
              <w:t>订购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第五章 保险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</w:t>
            </w:r>
            <w:r>
              <w:rPr>
                <w:rFonts w:hint="eastAsia" w:ascii="宋体" w:hAnsi="宋体" w:cs="宋体"/>
                <w:b w:val="0"/>
              </w:rPr>
              <w:t>保险</w:t>
            </w:r>
            <w:r>
              <w:rPr>
                <w:rFonts w:hint="eastAsia" w:ascii="宋体" w:hAnsi="宋体"/>
                <w:b w:val="0"/>
              </w:rPr>
              <w:t>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保险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Unit Five Insurance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Unit Six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Packing</w:t>
            </w:r>
          </w:p>
        </w:tc>
        <w:tc>
          <w:tcPr>
            <w:tcW w:w="291" w:type="pct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提高</w:t>
            </w:r>
            <w:r>
              <w:rPr>
                <w:rFonts w:hint="eastAsia" w:ascii="宋体" w:hAnsi="宋体" w:eastAsia="宋体" w:cs="宋体"/>
              </w:rPr>
              <w:t>保险</w:t>
            </w:r>
            <w:r>
              <w:rPr>
                <w:rFonts w:hint="eastAsia" w:ascii="宋体" w:hAnsi="宋体"/>
              </w:rPr>
              <w:t>写作技巧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保险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第六章 包装</w:t>
            </w:r>
          </w:p>
        </w:tc>
        <w:tc>
          <w:tcPr>
            <w:tcW w:w="291" w:type="pct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掌握提高包装写作技巧。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包装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第七章 运输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掌握运输写作技巧。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提高应用运输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Unit Seven Transportation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提高运输写作技巧。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运输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第八章 信用证付款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掌握信用证付款写作技巧。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信用证支付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Unit Eight Payment by L/C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</w:rPr>
              <w:t>提高信用证付款写作技巧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信用证支付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第九章其他付款方式</w:t>
            </w:r>
          </w:p>
        </w:tc>
        <w:tc>
          <w:tcPr>
            <w:tcW w:w="291" w:type="pc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提高其他付款方式写作技巧。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其他支付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r>
              <w:rPr>
                <w:rFonts w:hint="eastAsia"/>
              </w:rPr>
              <w:t>Unit Nine</w:t>
            </w:r>
            <w:r>
              <w:t xml:space="preserve"> </w:t>
            </w:r>
            <w:r>
              <w:rPr>
                <w:rFonts w:hint="eastAsia"/>
              </w:rPr>
              <w:t>Other Modes of Payment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Unit Ten</w:t>
            </w:r>
            <w:r>
              <w:t xml:space="preserve"> </w:t>
            </w:r>
            <w:r>
              <w:rPr>
                <w:rFonts w:hint="eastAsia"/>
              </w:rPr>
              <w:t xml:space="preserve"> Complaints and Adjustment</w:t>
            </w:r>
          </w:p>
        </w:tc>
        <w:tc>
          <w:tcPr>
            <w:tcW w:w="291" w:type="pct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掌握并提高付款方式写作技巧。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常用支付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第十章 投诉及处理</w:t>
            </w:r>
          </w:p>
        </w:tc>
        <w:tc>
          <w:tcPr>
            <w:tcW w:w="291" w:type="pct"/>
            <w:vAlign w:val="center"/>
          </w:tcPr>
          <w:p>
            <w:pPr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掌握并提高</w:t>
            </w:r>
            <w:r>
              <w:rPr>
                <w:rFonts w:hint="eastAsia" w:ascii="宋体" w:hAnsi="宋体" w:cs="宋体"/>
                <w:b w:val="0"/>
              </w:rPr>
              <w:t>投诉及处理</w:t>
            </w:r>
            <w:r>
              <w:rPr>
                <w:rFonts w:hint="eastAsia" w:ascii="宋体" w:hAnsi="宋体"/>
                <w:b w:val="0"/>
              </w:rPr>
              <w:t>写作技巧。</w:t>
            </w:r>
          </w:p>
        </w:tc>
        <w:tc>
          <w:tcPr>
            <w:tcW w:w="58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提高应用</w:t>
            </w:r>
            <w:r>
              <w:rPr>
                <w:rFonts w:hint="eastAsia" w:ascii="宋体" w:hAnsi="宋体" w:cs="宋体"/>
                <w:b w:val="0"/>
              </w:rPr>
              <w:t>投诉及处理</w:t>
            </w:r>
            <w:r>
              <w:rPr>
                <w:rFonts w:hint="eastAsia" w:ascii="宋体" w:hAnsi="宋体"/>
              </w:rPr>
              <w:t>写作技巧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69" w:type="pct"/>
            <w:vAlign w:val="center"/>
          </w:tcPr>
          <w:p>
            <w:pPr>
              <w:jc w:val="center"/>
              <w:rPr>
                <w:rFonts w:ascii="宋体" w:hAnsi="宋体" w:eastAsiaTheme="minorEastAsia"/>
              </w:rPr>
            </w:pPr>
            <w:r>
              <w:rPr>
                <w:rFonts w:hint="eastAsia" w:ascii="宋体" w:hAnsi="宋体" w:eastAsiaTheme="minorEastAsia"/>
              </w:rPr>
              <w:t>18</w:t>
            </w:r>
          </w:p>
        </w:tc>
        <w:tc>
          <w:tcPr>
            <w:tcW w:w="282" w:type="pc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2" w:type="pct"/>
          </w:tcPr>
          <w:p>
            <w:r>
              <w:rPr>
                <w:rFonts w:hint="eastAsia" w:ascii="宋体" w:hAnsi="宋体" w:eastAsia="宋体" w:cs="宋体"/>
              </w:rPr>
              <w:t xml:space="preserve">第十一章 </w:t>
            </w:r>
            <w:r>
              <w:rPr>
                <w:rFonts w:hint="eastAsia"/>
              </w:rPr>
              <w:t>代理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Unit Eleven Agencies</w:t>
            </w:r>
          </w:p>
        </w:tc>
        <w:tc>
          <w:tcPr>
            <w:tcW w:w="291" w:type="pct"/>
            <w:vAlign w:val="center"/>
          </w:tcPr>
          <w:p>
            <w:pPr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63" w:type="pct"/>
          </w:tcPr>
          <w:p>
            <w:pPr>
              <w:pStyle w:val="18"/>
              <w:spacing w:line="360" w:lineRule="auto"/>
              <w:rPr>
                <w:rFonts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掌握并提高代理信写作技巧。</w:t>
            </w:r>
          </w:p>
        </w:tc>
        <w:tc>
          <w:tcPr>
            <w:tcW w:w="580" w:type="pct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熟悉代理常用模式</w:t>
            </w:r>
          </w:p>
        </w:tc>
      </w:tr>
    </w:tbl>
    <w:p>
      <w:pPr>
        <w:spacing w:before="120" w:beforeLines="50" w:after="120" w:afterLines="50"/>
        <w:jc w:val="both"/>
        <w:rPr>
          <w:rFonts w:hint="eastAsia" w:ascii="宋体" w:hAnsi="宋体" w:eastAsia="宋体"/>
          <w:b/>
          <w:szCs w:val="21"/>
        </w:rPr>
      </w:pPr>
    </w:p>
    <w:p>
      <w:pPr>
        <w:spacing w:before="120" w:beforeLines="50" w:after="120" w:afterLines="50"/>
        <w:ind w:firstLine="562" w:firstLineChars="200"/>
      </w:pPr>
      <w:bookmarkStart w:id="0" w:name="_Hlk143246868"/>
      <w:r>
        <w:rPr>
          <w:rFonts w:hint="eastAsia" w:ascii="黑体" w:hAnsi="黑体" w:eastAsia="黑体"/>
          <w:b/>
          <w:sz w:val="28"/>
          <w:szCs w:val="28"/>
        </w:rPr>
        <w:t>六、教材及参考书</w:t>
      </w:r>
    </w:p>
    <w:p>
      <w:pPr>
        <w:spacing w:line="360" w:lineRule="exact"/>
        <w:jc w:val="both"/>
        <w:rPr>
          <w:rFonts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  <w:t>王兴孙</w:t>
      </w:r>
      <w:r>
        <w:rPr>
          <w:rFonts w:hint="eastAsia" w:eastAsia="宋体"/>
        </w:rPr>
        <w:t>（2</w:t>
      </w:r>
      <w:r>
        <w:rPr>
          <w:rFonts w:eastAsia="宋体"/>
        </w:rPr>
        <w:t>01</w:t>
      </w:r>
      <w:r>
        <w:rPr>
          <w:rFonts w:hint="eastAsia" w:eastAsia="宋体"/>
          <w:lang w:val="en-US" w:eastAsia="zh-CN"/>
        </w:rPr>
        <w:t>2</w:t>
      </w:r>
      <w:r>
        <w:rPr>
          <w:rFonts w:hint="eastAsia" w:eastAsia="宋体"/>
        </w:rPr>
        <w:t>）</w:t>
      </w:r>
      <w:r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  <w:t>，《新编进出口英语函电》，外语教学与研究出版社</w:t>
      </w:r>
    </w:p>
    <w:p>
      <w:pPr>
        <w:spacing w:before="120" w:beforeLines="50" w:after="120" w:afterLines="50"/>
        <w:rPr>
          <w:rFonts w:eastAsia="宋体"/>
        </w:rPr>
      </w:pPr>
      <w:r>
        <w:rPr>
          <w:rFonts w:hint="eastAsia" w:ascii="宋体" w:hAnsi="宋体" w:eastAsia="宋体"/>
        </w:rPr>
        <w:t>2．</w:t>
      </w:r>
      <w:r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查尔斯·希尔（美 2016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）著《国际贸易理论：双语教学语》：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进出口英语函电，</w:t>
      </w:r>
      <w:r>
        <w:fldChar w:fldCharType="begin"/>
      </w:r>
      <w:r>
        <w:instrText xml:space="preserve"> HYPERLINK "https://baike.baidu.com/item/%E4%B8%8A%E6%B5%B7%E4%BA%A4%E9%80%9A%E5%A4%A7%E5%AD%A6%E5%87%BA%E7%89%88%E7%A4%BE/8992453" \t "_blank" </w:instrText>
      </w:r>
      <w:r>
        <w:fldChar w:fldCharType="separate"/>
      </w:r>
      <w:r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人民邮电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，</w:t>
      </w:r>
    </w:p>
    <w:p>
      <w:pPr>
        <w:jc w:val="both"/>
        <w:rPr>
          <w:rFonts w:eastAsia="宋体"/>
          <w:color w:val="7030A0"/>
        </w:rPr>
      </w:pPr>
    </w:p>
    <w:p>
      <w:pPr>
        <w:snapToGrid w:val="0"/>
        <w:jc w:val="both"/>
        <w:rPr>
          <w:b/>
          <w:sz w:val="21"/>
        </w:rPr>
      </w:pPr>
    </w:p>
    <w:p>
      <w:pPr>
        <w:spacing w:before="120" w:beforeLines="50" w:after="120" w:afterLines="50"/>
        <w:ind w:firstLine="562" w:firstLineChars="200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1．讲授法：理论讲授，主要教学方法，贯穿教学全过程。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2．讨论法：对本门课程的主要内容，采用问题形式，在师生和学生之间展开讨论。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比较法：通过比较不同研究方式、研究方法等，深化学生对相关知识点的认识。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举例法：通过举例，强化学生对相关知识点的认识。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案例分析法：通过</w:t>
      </w:r>
      <w:r>
        <w:rPr>
          <w:rFonts w:hint="eastAsia" w:ascii="宋体" w:hAnsi="宋体" w:eastAsia="宋体"/>
          <w:lang w:val="en-US" w:eastAsia="zh-CN"/>
        </w:rPr>
        <w:t>函电</w:t>
      </w:r>
      <w:r>
        <w:rPr>
          <w:rFonts w:hint="eastAsia" w:ascii="宋体" w:hAnsi="宋体" w:eastAsia="宋体"/>
        </w:rPr>
        <w:t>案例解读，提高学生理论知识运用能力。</w:t>
      </w:r>
    </w:p>
    <w:p>
      <w:pPr>
        <w:spacing w:before="120" w:beforeLines="50" w:after="120" w:afterLines="5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八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考核方式及评定方法</w:t>
      </w:r>
    </w:p>
    <w:p>
      <w:pPr>
        <w:spacing w:before="120" w:beforeLines="50" w:after="120" w:afterLines="50"/>
        <w:ind w:firstLine="48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（一）课程考核与课程目标的对应关系 </w:t>
      </w:r>
    </w:p>
    <w:p>
      <w:pPr>
        <w:spacing w:before="120" w:beforeLines="50" w:after="120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12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5"/>
              <w:spacing w:before="120" w:beforeLines="50" w:after="120" w:afterLines="50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>系统掌握</w:t>
            </w:r>
            <w:r>
              <w:rPr>
                <w:rFonts w:hint="eastAsia" w:hAnsi="宋体"/>
                <w:lang w:val="en-US" w:eastAsia="zh-CN"/>
              </w:rPr>
              <w:t>外贸函电</w:t>
            </w:r>
            <w:r>
              <w:rPr>
                <w:rFonts w:hint="eastAsia" w:hAnsi="宋体"/>
              </w:rPr>
              <w:t>不同</w:t>
            </w:r>
            <w:r>
              <w:rPr>
                <w:rFonts w:hint="eastAsia" w:hAnsi="宋体"/>
                <w:lang w:val="en-US" w:eastAsia="zh-CN"/>
              </w:rPr>
              <w:t>条款</w:t>
            </w:r>
            <w:r>
              <w:rPr>
                <w:rFonts w:hint="eastAsia" w:hAnsi="宋体"/>
              </w:rPr>
              <w:t>主要内容</w:t>
            </w:r>
            <w:r>
              <w:rPr>
                <w:rFonts w:hint="eastAsia" w:hAnsi="宋体"/>
                <w:lang w:val="en-US" w:eastAsia="zh-CN"/>
              </w:rPr>
              <w:t>及常用表达</w:t>
            </w:r>
          </w:p>
        </w:tc>
        <w:tc>
          <w:tcPr>
            <w:tcW w:w="2849" w:type="dxa"/>
            <w:vAlign w:val="center"/>
          </w:tcPr>
          <w:p>
            <w:pPr>
              <w:pStyle w:val="38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38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5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ascii="宋体" w:hAnsi="宋体" w:eastAsia="宋体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  <w:t>促进建立合作伙伴关系时常用函电专业术语和重点句型，注意与时俱进。</w:t>
            </w:r>
          </w:p>
        </w:tc>
        <w:tc>
          <w:tcPr>
            <w:tcW w:w="2849" w:type="dxa"/>
            <w:vAlign w:val="center"/>
          </w:tcPr>
          <w:p>
            <w:pPr>
              <w:pStyle w:val="38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38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5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5"/>
              <w:spacing w:before="120" w:beforeLines="50" w:after="120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5"/>
              <w:spacing w:before="120" w:beforeLines="50" w:after="120" w:afterLines="50"/>
              <w:rPr>
                <w:rFonts w:hAnsi="宋体"/>
              </w:rPr>
            </w:pPr>
            <w:r>
              <w:rPr>
                <w:rFonts w:hint="eastAsia" w:hAnsi="宋体"/>
              </w:rPr>
              <w:t>将</w:t>
            </w:r>
            <w:r>
              <w:rPr>
                <w:rFonts w:hint="eastAsia" w:hAnsi="宋体"/>
                <w:lang w:val="en-US" w:eastAsia="zh-CN"/>
              </w:rPr>
              <w:t>外贸函电表达</w:t>
            </w:r>
            <w:r>
              <w:rPr>
                <w:rFonts w:hint="eastAsia" w:hAnsi="宋体"/>
              </w:rPr>
              <w:t>与各国的贸易战略、贸易政策有机结合起来</w:t>
            </w:r>
            <w:r>
              <w:rPr>
                <w:rFonts w:hint="eastAsia" w:hAnsi="宋体"/>
                <w:lang w:val="en-US" w:eastAsia="zh-CN"/>
              </w:rPr>
              <w:t>拟国际货物买卖合同</w:t>
            </w:r>
          </w:p>
        </w:tc>
        <w:tc>
          <w:tcPr>
            <w:tcW w:w="2849" w:type="dxa"/>
            <w:vAlign w:val="center"/>
          </w:tcPr>
          <w:p>
            <w:pPr>
              <w:pStyle w:val="38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38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5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color w:val="000000"/>
                <w:szCs w:val="21"/>
              </w:rPr>
              <w:t>3.期末考试</w:t>
            </w:r>
          </w:p>
        </w:tc>
      </w:tr>
    </w:tbl>
    <w:p>
      <w:pPr>
        <w:spacing w:before="120" w:beforeLines="50" w:after="120" w:afterLines="50"/>
        <w:ind w:firstLine="48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（二）评定方法 </w:t>
      </w:r>
    </w:p>
    <w:p>
      <w:pPr>
        <w:spacing w:before="120" w:beforeLines="50" w:after="120" w:afterLines="50"/>
        <w:ind w:firstLine="482" w:firstLineChars="200"/>
        <w:rPr>
          <w:rFonts w:ascii="黑体" w:hAnsi="黑体" w:eastAsia="黑体"/>
          <w:b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spacing w:before="120" w:beforeLines="50" w:after="120" w:afterLines="50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平时成绩（含考勤、课堂表现与作业）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，期末考试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</w:rPr>
        <w:t>闭卷。</w:t>
      </w:r>
    </w:p>
    <w:p>
      <w:pPr>
        <w:spacing w:before="120" w:beforeLines="50" w:after="120" w:afterLines="50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spacing w:before="120" w:beforeLines="50" w:after="120" w:afterLines="50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12"/>
        <w:tblW w:w="6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考核占比</w:t>
            </w:r>
          </w:p>
          <w:p>
            <w:pPr>
              <w:spacing w:before="120" w:beforeLines="50" w:after="120" w:afterLines="50"/>
              <w:ind w:firstLine="120" w:firstLineChars="5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总评达成度={0.3ｘ平时分目标成绩++0.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20" w:beforeLines="50" w:after="120" w:afterLines="5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before="120" w:beforeLines="50" w:after="120" w:afterLines="50"/>
        <w:ind w:firstLine="482" w:firstLineChars="20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（三）评分标准 </w:t>
      </w:r>
    </w:p>
    <w:tbl>
      <w:tblPr>
        <w:tblStyle w:val="12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非常全面、准确地掌握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外贸函电各项交易条款</w:t>
            </w:r>
            <w:r>
              <w:rPr>
                <w:rFonts w:hint="eastAsia" w:ascii="宋体" w:hAnsi="宋体" w:eastAsia="宋体" w:cs="宋体"/>
                <w:szCs w:val="21"/>
              </w:rPr>
              <w:t>主要内容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比较全面、准确地掌握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外贸函电各项交易条款</w:t>
            </w:r>
            <w:r>
              <w:rPr>
                <w:rFonts w:hint="eastAsia" w:ascii="宋体" w:hAnsi="宋体" w:eastAsia="宋体" w:cs="宋体"/>
                <w:szCs w:val="21"/>
              </w:rPr>
              <w:t>主要内容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外贸函电各项交易条款</w:t>
            </w:r>
            <w:r>
              <w:rPr>
                <w:rFonts w:hint="eastAsia" w:ascii="宋体" w:hAnsi="宋体" w:eastAsia="宋体" w:cs="宋体"/>
                <w:szCs w:val="21"/>
              </w:rPr>
              <w:t>主要的主要内容较为了解，但不够全面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基本正确地掌握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外贸函电各项交易条款</w:t>
            </w:r>
            <w:r>
              <w:rPr>
                <w:rFonts w:hint="eastAsia" w:ascii="宋体" w:hAnsi="宋体" w:eastAsia="宋体" w:cs="宋体"/>
                <w:szCs w:val="21"/>
              </w:rPr>
              <w:t>主要内容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及方式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不能正确掌握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外贸函电各项交易条款</w:t>
            </w:r>
            <w:r>
              <w:rPr>
                <w:rFonts w:hint="eastAsia" w:ascii="宋体" w:hAnsi="宋体" w:eastAsia="宋体" w:cs="宋体"/>
                <w:szCs w:val="21"/>
              </w:rPr>
              <w:t>主要内容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非常准确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促进建立合作伙伴关系时常用函电专业术语和重点句型，注意与时俱进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比较准确、深入地理解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促进建立合作伙伴关系时常用函电专业术语和重点句型，注意与时俱进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促进建立合作伙伴关系时常用函电专业术语和重点句型</w:t>
            </w:r>
            <w:r>
              <w:rPr>
                <w:rFonts w:hint="eastAsia" w:ascii="宋体" w:hAnsi="宋体" w:eastAsia="宋体" w:cs="宋体"/>
                <w:szCs w:val="21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基本正确理解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促进建立合作伙伴关系时常用函电专业术语和重点句型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不能正确理解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促进建立合作伙伴关系时常用函电专业术语和重点句型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非常全面、准确地</w:t>
            </w:r>
            <w:r>
              <w:rPr>
                <w:rFonts w:hint="eastAsia" w:hAnsi="宋体"/>
              </w:rPr>
              <w:t>将</w:t>
            </w:r>
            <w:r>
              <w:rPr>
                <w:rFonts w:hint="eastAsia" w:hAnsi="宋体"/>
                <w:lang w:val="en-US" w:eastAsia="zh-CN"/>
              </w:rPr>
              <w:t>外贸函电表达</w:t>
            </w:r>
            <w:r>
              <w:rPr>
                <w:rFonts w:hint="eastAsia" w:hAnsi="宋体"/>
              </w:rPr>
              <w:t>与各国的贸易战略、贸易政策有机结合起来</w:t>
            </w:r>
            <w:r>
              <w:rPr>
                <w:rFonts w:hint="eastAsia" w:hAnsi="宋体"/>
                <w:lang w:val="en-US" w:eastAsia="zh-CN"/>
              </w:rPr>
              <w:t>拟国际货物买卖合同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比较全面、准确地</w:t>
            </w:r>
            <w:r>
              <w:rPr>
                <w:rFonts w:hint="eastAsia" w:hAnsi="宋体"/>
              </w:rPr>
              <w:t>将</w:t>
            </w:r>
            <w:r>
              <w:rPr>
                <w:rFonts w:hint="eastAsia" w:hAnsi="宋体"/>
                <w:lang w:val="en-US" w:eastAsia="zh-CN"/>
              </w:rPr>
              <w:t>外贸函电表达</w:t>
            </w:r>
            <w:r>
              <w:rPr>
                <w:rFonts w:hint="eastAsia" w:hAnsi="宋体"/>
              </w:rPr>
              <w:t>与各国的贸易战略、贸易政策有机结合起来</w:t>
            </w:r>
            <w:r>
              <w:rPr>
                <w:rFonts w:hint="eastAsia" w:hAnsi="宋体"/>
                <w:lang w:val="en-US" w:eastAsia="zh-CN"/>
              </w:rPr>
              <w:t>拟国际货物买卖合同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</w:t>
            </w:r>
            <w:r>
              <w:rPr>
                <w:rFonts w:hint="eastAsia" w:hAnsi="宋体"/>
              </w:rPr>
              <w:t>将</w:t>
            </w:r>
            <w:r>
              <w:rPr>
                <w:rFonts w:hint="eastAsia" w:hAnsi="宋体"/>
                <w:lang w:val="en-US" w:eastAsia="zh-CN"/>
              </w:rPr>
              <w:t>外贸函电表达</w:t>
            </w:r>
            <w:r>
              <w:rPr>
                <w:rFonts w:hint="eastAsia" w:hAnsi="宋体"/>
              </w:rPr>
              <w:t>与各国的贸易战略、贸易政策有机结合起来</w:t>
            </w:r>
            <w:r>
              <w:rPr>
                <w:rFonts w:hint="eastAsia" w:hAnsi="宋体"/>
                <w:lang w:val="en-US" w:eastAsia="zh-CN"/>
              </w:rPr>
              <w:t>拟国际货物买卖合同</w:t>
            </w:r>
            <w:r>
              <w:rPr>
                <w:rFonts w:hint="eastAsia" w:ascii="宋体" w:hAnsi="宋体" w:eastAsia="宋体" w:cs="宋体"/>
                <w:szCs w:val="21"/>
              </w:rPr>
              <w:t>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基本正确地</w:t>
            </w:r>
            <w:r>
              <w:rPr>
                <w:rFonts w:hint="eastAsia" w:hAnsi="宋体"/>
              </w:rPr>
              <w:t>将</w:t>
            </w:r>
            <w:r>
              <w:rPr>
                <w:rFonts w:hint="eastAsia" w:hAnsi="宋体"/>
                <w:lang w:val="en-US" w:eastAsia="zh-CN"/>
              </w:rPr>
              <w:t>外贸函电表达</w:t>
            </w:r>
            <w:r>
              <w:rPr>
                <w:rFonts w:hint="eastAsia" w:hAnsi="宋体"/>
              </w:rPr>
              <w:t>与各国的贸易战略、贸易政策有机结合起来</w:t>
            </w:r>
            <w:r>
              <w:rPr>
                <w:rFonts w:hint="eastAsia" w:hAnsi="宋体"/>
                <w:lang w:val="en-US" w:eastAsia="zh-CN"/>
              </w:rPr>
              <w:t>拟国际货物买卖合同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不能正确</w:t>
            </w:r>
            <w:r>
              <w:rPr>
                <w:rFonts w:hint="eastAsia" w:hAnsi="宋体"/>
              </w:rPr>
              <w:t>将</w:t>
            </w:r>
            <w:r>
              <w:rPr>
                <w:rFonts w:hint="eastAsia" w:hAnsi="宋体"/>
                <w:lang w:val="en-US" w:eastAsia="zh-CN"/>
              </w:rPr>
              <w:t>外贸函电表达</w:t>
            </w:r>
            <w:r>
              <w:rPr>
                <w:rFonts w:hint="eastAsia" w:hAnsi="宋体"/>
              </w:rPr>
              <w:t>与各国的贸易战略、贸易政策有机结合起来</w:t>
            </w:r>
            <w:r>
              <w:rPr>
                <w:rFonts w:hint="eastAsia" w:hAnsi="宋体"/>
                <w:lang w:val="en-US" w:eastAsia="zh-CN"/>
              </w:rPr>
              <w:t>拟国际货物买卖合同</w:t>
            </w:r>
          </w:p>
        </w:tc>
      </w:tr>
      <w:bookmarkEnd w:id="0"/>
    </w:tbl>
    <w:p>
      <w:pPr>
        <w:rPr>
          <w:rFonts w:ascii="宋体" w:hAnsi="宋体" w:eastAsia="宋体"/>
        </w:rPr>
      </w:pPr>
    </w:p>
    <w:p>
      <w:pPr>
        <w:spacing w:before="120" w:beforeLines="50" w:after="120" w:afterLines="50"/>
        <w:ind w:firstLine="480" w:firstLineChars="200"/>
        <w:rPr>
          <w:rFonts w:ascii="宋体" w:hAnsi="宋体" w:eastAsia="宋体"/>
        </w:rPr>
      </w:pPr>
      <w:bookmarkStart w:id="1" w:name="_GoBack"/>
      <w:bookmarkEnd w:id="1"/>
    </w:p>
    <w:sectPr>
      <w:headerReference r:id="rId3" w:type="first"/>
      <w:footerReference r:id="rId4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Futura Lt BT">
    <w:altName w:val="Segoe UI Semilight"/>
    <w:panose1 w:val="00000000000000000000"/>
    <w:charset w:val="00"/>
    <w:family w:val="swiss"/>
    <w:pitch w:val="default"/>
    <w:sig w:usb0="00000000" w:usb1="00000000" w:usb2="00000000" w:usb3="00000000" w:csb0="000001FB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1" w:usb3="00000000" w:csb0="400001BF" w:csb1="DFF7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895857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12</w:t>
        </w:r>
        <w:r>
          <w:fldChar w:fldCharType="end"/>
        </w:r>
      </w:p>
    </w:sdtContent>
  </w:sdt>
  <w:p>
    <w:pPr>
      <w:pStyle w:val="7"/>
      <w:ind w:right="-720"/>
      <w:jc w:val="right"/>
      <w:rPr>
        <w:rFonts w:ascii="Futura Lt BT" w:hAnsi="Futura Lt B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4384675</wp:posOffset>
          </wp:positionH>
          <wp:positionV relativeFrom="paragraph">
            <wp:posOffset>-15875</wp:posOffset>
          </wp:positionV>
          <wp:extent cx="2395855" cy="594360"/>
          <wp:effectExtent l="0" t="0" r="0" b="0"/>
          <wp:wrapSquare wrapText="bothSides"/>
          <wp:docPr id="5" name="Picture 5" descr="IIT_Stuart_stack_186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IT_Stuart_stack_186_bl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5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-76200</wp:posOffset>
          </wp:positionV>
          <wp:extent cx="822960" cy="829310"/>
          <wp:effectExtent l="0" t="0" r="0" b="0"/>
          <wp:wrapSquare wrapText="bothSides"/>
          <wp:docPr id="7" name="Picture 7" descr="aacsb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acsbsea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871B6"/>
    <w:multiLevelType w:val="multilevel"/>
    <w:tmpl w:val="2AC871B6"/>
    <w:lvl w:ilvl="0" w:tentative="0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xNzQ3NWU0YjQ4NzYzMzZjMWQ2MGE2MDQ5Mzg2NDUifQ=="/>
  </w:docVars>
  <w:rsids>
    <w:rsidRoot w:val="00B8149E"/>
    <w:rsid w:val="00003764"/>
    <w:rsid w:val="0002496D"/>
    <w:rsid w:val="00032F0E"/>
    <w:rsid w:val="00051509"/>
    <w:rsid w:val="00057F0F"/>
    <w:rsid w:val="00060127"/>
    <w:rsid w:val="00074C87"/>
    <w:rsid w:val="00085135"/>
    <w:rsid w:val="000B6D8E"/>
    <w:rsid w:val="000C7DAB"/>
    <w:rsid w:val="000F3B48"/>
    <w:rsid w:val="00131119"/>
    <w:rsid w:val="00152DDB"/>
    <w:rsid w:val="00153193"/>
    <w:rsid w:val="0015491C"/>
    <w:rsid w:val="00154E0F"/>
    <w:rsid w:val="00161555"/>
    <w:rsid w:val="00165B13"/>
    <w:rsid w:val="00182DD5"/>
    <w:rsid w:val="0019540F"/>
    <w:rsid w:val="001B4535"/>
    <w:rsid w:val="001C797F"/>
    <w:rsid w:val="001D3A75"/>
    <w:rsid w:val="001D5B44"/>
    <w:rsid w:val="001E1CE4"/>
    <w:rsid w:val="001E5713"/>
    <w:rsid w:val="001E6966"/>
    <w:rsid w:val="001F3EF4"/>
    <w:rsid w:val="00202C1B"/>
    <w:rsid w:val="0020453A"/>
    <w:rsid w:val="0021357D"/>
    <w:rsid w:val="002224CA"/>
    <w:rsid w:val="00223B67"/>
    <w:rsid w:val="00242A6A"/>
    <w:rsid w:val="00251F19"/>
    <w:rsid w:val="002637DE"/>
    <w:rsid w:val="0026596E"/>
    <w:rsid w:val="00265BA0"/>
    <w:rsid w:val="00267963"/>
    <w:rsid w:val="0027233C"/>
    <w:rsid w:val="00281BD9"/>
    <w:rsid w:val="0029575F"/>
    <w:rsid w:val="002C2D00"/>
    <w:rsid w:val="002C4B91"/>
    <w:rsid w:val="002E095D"/>
    <w:rsid w:val="002E1332"/>
    <w:rsid w:val="002E48D2"/>
    <w:rsid w:val="002F550F"/>
    <w:rsid w:val="0031022F"/>
    <w:rsid w:val="003129E4"/>
    <w:rsid w:val="0032221D"/>
    <w:rsid w:val="00322D96"/>
    <w:rsid w:val="003260BF"/>
    <w:rsid w:val="00326E04"/>
    <w:rsid w:val="00327733"/>
    <w:rsid w:val="003300A6"/>
    <w:rsid w:val="0033298B"/>
    <w:rsid w:val="0033732A"/>
    <w:rsid w:val="003374A4"/>
    <w:rsid w:val="0034166C"/>
    <w:rsid w:val="0035714F"/>
    <w:rsid w:val="003702BA"/>
    <w:rsid w:val="00370B53"/>
    <w:rsid w:val="003927BD"/>
    <w:rsid w:val="003B1992"/>
    <w:rsid w:val="003B513A"/>
    <w:rsid w:val="003F1CBC"/>
    <w:rsid w:val="003F2728"/>
    <w:rsid w:val="004023AF"/>
    <w:rsid w:val="0040799D"/>
    <w:rsid w:val="00420CC0"/>
    <w:rsid w:val="00457B4B"/>
    <w:rsid w:val="004632CA"/>
    <w:rsid w:val="00465F84"/>
    <w:rsid w:val="004707B9"/>
    <w:rsid w:val="00471ABD"/>
    <w:rsid w:val="00476BE3"/>
    <w:rsid w:val="0048377D"/>
    <w:rsid w:val="004976C7"/>
    <w:rsid w:val="004A56EB"/>
    <w:rsid w:val="004B3F03"/>
    <w:rsid w:val="004B61A0"/>
    <w:rsid w:val="004B7730"/>
    <w:rsid w:val="004B7D2E"/>
    <w:rsid w:val="004E1C1B"/>
    <w:rsid w:val="004F22D3"/>
    <w:rsid w:val="005013C1"/>
    <w:rsid w:val="0051585A"/>
    <w:rsid w:val="00516D2D"/>
    <w:rsid w:val="005547C2"/>
    <w:rsid w:val="005729CA"/>
    <w:rsid w:val="00593C99"/>
    <w:rsid w:val="00595887"/>
    <w:rsid w:val="005C7553"/>
    <w:rsid w:val="005E07F5"/>
    <w:rsid w:val="005E260A"/>
    <w:rsid w:val="00607B68"/>
    <w:rsid w:val="00623F60"/>
    <w:rsid w:val="0063276A"/>
    <w:rsid w:val="00640F28"/>
    <w:rsid w:val="0064416C"/>
    <w:rsid w:val="00651321"/>
    <w:rsid w:val="006534BA"/>
    <w:rsid w:val="006541B1"/>
    <w:rsid w:val="00655D38"/>
    <w:rsid w:val="00661F18"/>
    <w:rsid w:val="00665312"/>
    <w:rsid w:val="00680869"/>
    <w:rsid w:val="00681AEC"/>
    <w:rsid w:val="00685D7A"/>
    <w:rsid w:val="006A726B"/>
    <w:rsid w:val="006B0F34"/>
    <w:rsid w:val="006B7EBE"/>
    <w:rsid w:val="006C3DCC"/>
    <w:rsid w:val="006F19E1"/>
    <w:rsid w:val="006F318F"/>
    <w:rsid w:val="00701E5B"/>
    <w:rsid w:val="0072266E"/>
    <w:rsid w:val="007241A4"/>
    <w:rsid w:val="007472E0"/>
    <w:rsid w:val="0075089F"/>
    <w:rsid w:val="007517E9"/>
    <w:rsid w:val="00771DBE"/>
    <w:rsid w:val="00782C87"/>
    <w:rsid w:val="007830FE"/>
    <w:rsid w:val="00785D5E"/>
    <w:rsid w:val="007A162D"/>
    <w:rsid w:val="007C2A9B"/>
    <w:rsid w:val="007D7B08"/>
    <w:rsid w:val="007E41B2"/>
    <w:rsid w:val="008006A7"/>
    <w:rsid w:val="00806ABD"/>
    <w:rsid w:val="00815BDD"/>
    <w:rsid w:val="0081657C"/>
    <w:rsid w:val="00822676"/>
    <w:rsid w:val="00841F6D"/>
    <w:rsid w:val="00842826"/>
    <w:rsid w:val="0084511E"/>
    <w:rsid w:val="00864C68"/>
    <w:rsid w:val="00885104"/>
    <w:rsid w:val="008A069C"/>
    <w:rsid w:val="008B0721"/>
    <w:rsid w:val="008B3671"/>
    <w:rsid w:val="008B6AB5"/>
    <w:rsid w:val="008C5BF0"/>
    <w:rsid w:val="008E6252"/>
    <w:rsid w:val="008F7AC1"/>
    <w:rsid w:val="0090763D"/>
    <w:rsid w:val="00907748"/>
    <w:rsid w:val="0091558B"/>
    <w:rsid w:val="009219A4"/>
    <w:rsid w:val="00941ADC"/>
    <w:rsid w:val="00947CA2"/>
    <w:rsid w:val="00971449"/>
    <w:rsid w:val="00974F4D"/>
    <w:rsid w:val="009949B9"/>
    <w:rsid w:val="009C65F0"/>
    <w:rsid w:val="009D2F43"/>
    <w:rsid w:val="009E48A6"/>
    <w:rsid w:val="00A1570A"/>
    <w:rsid w:val="00A35503"/>
    <w:rsid w:val="00A363CF"/>
    <w:rsid w:val="00A37D2E"/>
    <w:rsid w:val="00A5202A"/>
    <w:rsid w:val="00A560D4"/>
    <w:rsid w:val="00A635A0"/>
    <w:rsid w:val="00AA7C84"/>
    <w:rsid w:val="00AD2285"/>
    <w:rsid w:val="00AD34DE"/>
    <w:rsid w:val="00AD6E54"/>
    <w:rsid w:val="00B06C71"/>
    <w:rsid w:val="00B159CB"/>
    <w:rsid w:val="00B22732"/>
    <w:rsid w:val="00B3119B"/>
    <w:rsid w:val="00B35EFA"/>
    <w:rsid w:val="00B45A24"/>
    <w:rsid w:val="00B557A8"/>
    <w:rsid w:val="00B752D2"/>
    <w:rsid w:val="00B7700F"/>
    <w:rsid w:val="00B8149E"/>
    <w:rsid w:val="00BB0AF9"/>
    <w:rsid w:val="00BB1CA1"/>
    <w:rsid w:val="00BB1CAE"/>
    <w:rsid w:val="00BB2B0E"/>
    <w:rsid w:val="00BB754D"/>
    <w:rsid w:val="00BE4BC0"/>
    <w:rsid w:val="00C03160"/>
    <w:rsid w:val="00C1347C"/>
    <w:rsid w:val="00C15BC1"/>
    <w:rsid w:val="00C176BA"/>
    <w:rsid w:val="00C31B78"/>
    <w:rsid w:val="00C51C40"/>
    <w:rsid w:val="00C63F36"/>
    <w:rsid w:val="00C77C8C"/>
    <w:rsid w:val="00C94FF0"/>
    <w:rsid w:val="00CA131A"/>
    <w:rsid w:val="00CB233E"/>
    <w:rsid w:val="00CB651A"/>
    <w:rsid w:val="00CC4FB2"/>
    <w:rsid w:val="00CE1F18"/>
    <w:rsid w:val="00CF705F"/>
    <w:rsid w:val="00D00D83"/>
    <w:rsid w:val="00D14BEA"/>
    <w:rsid w:val="00D21E31"/>
    <w:rsid w:val="00D23FA7"/>
    <w:rsid w:val="00D352BD"/>
    <w:rsid w:val="00D475E1"/>
    <w:rsid w:val="00D47D7C"/>
    <w:rsid w:val="00D51CF9"/>
    <w:rsid w:val="00D6296B"/>
    <w:rsid w:val="00D72DD4"/>
    <w:rsid w:val="00D770CC"/>
    <w:rsid w:val="00D800C8"/>
    <w:rsid w:val="00D80170"/>
    <w:rsid w:val="00D85C7F"/>
    <w:rsid w:val="00DD70E0"/>
    <w:rsid w:val="00DE4B0F"/>
    <w:rsid w:val="00DE7C04"/>
    <w:rsid w:val="00E0533E"/>
    <w:rsid w:val="00E139E5"/>
    <w:rsid w:val="00E30FB6"/>
    <w:rsid w:val="00E338F2"/>
    <w:rsid w:val="00E51790"/>
    <w:rsid w:val="00E561B0"/>
    <w:rsid w:val="00E72FFB"/>
    <w:rsid w:val="00EA28A7"/>
    <w:rsid w:val="00EA3B7E"/>
    <w:rsid w:val="00EA59E7"/>
    <w:rsid w:val="00EB1A70"/>
    <w:rsid w:val="00EC019C"/>
    <w:rsid w:val="00EF1943"/>
    <w:rsid w:val="00EF657E"/>
    <w:rsid w:val="00F2522A"/>
    <w:rsid w:val="00F33956"/>
    <w:rsid w:val="00F35B7E"/>
    <w:rsid w:val="00F42B9D"/>
    <w:rsid w:val="00F709B7"/>
    <w:rsid w:val="00F74BDF"/>
    <w:rsid w:val="00F75933"/>
    <w:rsid w:val="00FA4503"/>
    <w:rsid w:val="00FD38CD"/>
    <w:rsid w:val="00FF5F86"/>
    <w:rsid w:val="00FF6991"/>
    <w:rsid w:val="01C616FD"/>
    <w:rsid w:val="0263637C"/>
    <w:rsid w:val="02D613A2"/>
    <w:rsid w:val="05A46508"/>
    <w:rsid w:val="077C262C"/>
    <w:rsid w:val="14B57A04"/>
    <w:rsid w:val="1ED74A5D"/>
    <w:rsid w:val="1FB50B33"/>
    <w:rsid w:val="20997543"/>
    <w:rsid w:val="23594D9F"/>
    <w:rsid w:val="264B4627"/>
    <w:rsid w:val="289C18DB"/>
    <w:rsid w:val="2A8D5961"/>
    <w:rsid w:val="2E2816ED"/>
    <w:rsid w:val="36B97788"/>
    <w:rsid w:val="37C911E3"/>
    <w:rsid w:val="3802360F"/>
    <w:rsid w:val="3AFC1E87"/>
    <w:rsid w:val="499A1B8D"/>
    <w:rsid w:val="4A4F449B"/>
    <w:rsid w:val="4C8F6909"/>
    <w:rsid w:val="4D9B2F63"/>
    <w:rsid w:val="4E2B1033"/>
    <w:rsid w:val="57AE65D4"/>
    <w:rsid w:val="5D61425D"/>
    <w:rsid w:val="613D3B8C"/>
    <w:rsid w:val="61EB7186"/>
    <w:rsid w:val="67DD72B8"/>
    <w:rsid w:val="69276D5A"/>
    <w:rsid w:val="6E7639DD"/>
    <w:rsid w:val="739E5AB6"/>
    <w:rsid w:val="7BF654C2"/>
    <w:rsid w:val="7D7A3178"/>
    <w:rsid w:val="7E35345E"/>
    <w:rsid w:val="7F65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1"/>
    <w:next w:val="1"/>
    <w:link w:val="23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36"/>
    <w:qFormat/>
    <w:uiPriority w:val="99"/>
    <w:pPr>
      <w:widowControl w:val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6">
    <w:name w:val="Balloon Text"/>
    <w:basedOn w:val="1"/>
    <w:link w:val="32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8"/>
    <w:qFormat/>
    <w:uiPriority w:val="99"/>
    <w:pPr>
      <w:tabs>
        <w:tab w:val="center" w:pos="4320"/>
        <w:tab w:val="right" w:pos="8640"/>
      </w:tabs>
    </w:pPr>
    <w:rPr>
      <w:lang w:eastAsia="en-US"/>
    </w:rPr>
  </w:style>
  <w:style w:type="paragraph" w:styleId="8">
    <w:name w:val="header"/>
    <w:basedOn w:val="1"/>
    <w:link w:val="27"/>
    <w:uiPriority w:val="0"/>
    <w:pPr>
      <w:tabs>
        <w:tab w:val="center" w:pos="4320"/>
        <w:tab w:val="right" w:pos="8640"/>
      </w:tabs>
    </w:pPr>
    <w:rPr>
      <w:lang w:eastAsia="en-US"/>
    </w:rPr>
  </w:style>
  <w:style w:type="paragraph" w:styleId="9">
    <w:name w:val="List"/>
    <w:basedOn w:val="1"/>
    <w:uiPriority w:val="0"/>
    <w:pPr>
      <w:widowControl w:val="0"/>
      <w:ind w:left="200" w:hanging="200" w:hangingChars="200"/>
      <w:jc w:val="both"/>
    </w:pPr>
    <w:rPr>
      <w:rFonts w:eastAsia="宋体"/>
      <w:kern w:val="2"/>
      <w:sz w:val="21"/>
    </w:rPr>
  </w:style>
  <w:style w:type="paragraph" w:styleId="10">
    <w:name w:val="Body Text Indent 3"/>
    <w:basedOn w:val="1"/>
    <w:link w:val="21"/>
    <w:uiPriority w:val="0"/>
    <w:pPr>
      <w:widowControl w:val="0"/>
      <w:spacing w:before="100" w:beforeAutospacing="1" w:line="360" w:lineRule="auto"/>
      <w:ind w:left="720"/>
    </w:pPr>
    <w:rPr>
      <w:rFonts w:ascii="Times" w:hAnsi="Times"/>
      <w:snapToGrid w:val="0"/>
      <w:szCs w:val="20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Session"/>
    <w:basedOn w:val="1"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eastAsia="宋体"/>
      <w:b/>
      <w:snapToGrid w:val="0"/>
      <w:color w:val="000000" w:themeColor="text1"/>
      <w14:textFill>
        <w14:solidFill>
          <w14:schemeClr w14:val="tx1"/>
        </w14:solidFill>
      </w14:textFill>
    </w:rPr>
  </w:style>
  <w:style w:type="paragraph" w:customStyle="1" w:styleId="19">
    <w:name w:val="Colorful List - Accent 11"/>
    <w:basedOn w:val="1"/>
    <w:qFormat/>
    <w:uiPriority w:val="0"/>
    <w:pPr>
      <w:widowControl w:val="0"/>
      <w:ind w:left="720"/>
      <w:contextualSpacing/>
    </w:pPr>
    <w:rPr>
      <w:rFonts w:ascii="Courier New" w:hAnsi="Courier New"/>
      <w:snapToGrid w:val="0"/>
      <w:szCs w:val="20"/>
    </w:rPr>
  </w:style>
  <w:style w:type="paragraph" w:customStyle="1" w:styleId="20">
    <w:name w:val="Readings"/>
    <w:basedOn w:val="1"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snapToGrid w:val="0"/>
      <w:szCs w:val="20"/>
    </w:rPr>
  </w:style>
  <w:style w:type="character" w:customStyle="1" w:styleId="21">
    <w:name w:val="正文文本缩进 3 字符"/>
    <w:basedOn w:val="14"/>
    <w:link w:val="10"/>
    <w:qFormat/>
    <w:uiPriority w:val="0"/>
    <w:rPr>
      <w:rFonts w:ascii="Times" w:hAnsi="Times" w:eastAsia="Times New Roman" w:cs="Times New Roman"/>
      <w:snapToGrid w:val="0"/>
      <w:szCs w:val="20"/>
      <w:lang w:val="en-US" w:eastAsia="en-US"/>
    </w:rPr>
  </w:style>
  <w:style w:type="character" w:customStyle="1" w:styleId="22">
    <w:name w:val="标题 3 字符"/>
    <w:basedOn w:val="1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23">
    <w:name w:val="标题 4 字符"/>
    <w:basedOn w:val="14"/>
    <w:link w:val="4"/>
    <w:qFormat/>
    <w:uiPriority w:val="9"/>
    <w:rPr>
      <w:rFonts w:ascii="Times New Roman" w:hAnsi="Times New Roman" w:eastAsia="Times New Roman" w:cs="Times New Roman"/>
      <w:b/>
      <w:bCs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6">
    <w:name w:val="Unresolved Mention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页眉 字符"/>
    <w:basedOn w:val="14"/>
    <w:link w:val="8"/>
    <w:qFormat/>
    <w:uiPriority w:val="0"/>
    <w:rPr>
      <w:rFonts w:ascii="Times New Roman" w:hAnsi="Times New Roman" w:eastAsia="Times New Roman" w:cs="Times New Roman"/>
      <w:lang w:val="en-US" w:eastAsia="en-US"/>
    </w:rPr>
  </w:style>
  <w:style w:type="character" w:customStyle="1" w:styleId="28">
    <w:name w:val="页脚 字符"/>
    <w:basedOn w:val="14"/>
    <w:link w:val="7"/>
    <w:qFormat/>
    <w:uiPriority w:val="99"/>
    <w:rPr>
      <w:rFonts w:ascii="Times New Roman" w:hAnsi="Times New Roman" w:eastAsia="Times New Roman" w:cs="Times New Roman"/>
      <w:lang w:val="en-US" w:eastAsia="en-US"/>
    </w:rPr>
  </w:style>
  <w:style w:type="paragraph" w:customStyle="1" w:styleId="29">
    <w:name w:val="Default"/>
    <w:uiPriority w:val="0"/>
    <w:pPr>
      <w:autoSpaceDE w:val="0"/>
      <w:autoSpaceDN w:val="0"/>
      <w:adjustRightInd w:val="0"/>
    </w:pPr>
    <w:rPr>
      <w:rFonts w:ascii="Futura Lt BT" w:hAnsi="Futura Lt BT" w:eastAsia="Times New Roman" w:cs="Futura Lt BT"/>
      <w:color w:val="000000"/>
      <w:sz w:val="24"/>
      <w:szCs w:val="24"/>
      <w:lang w:val="en-US" w:eastAsia="en-US" w:bidi="ar-SA"/>
    </w:rPr>
  </w:style>
  <w:style w:type="paragraph" w:customStyle="1" w:styleId="30">
    <w:name w:val="Pa0"/>
    <w:basedOn w:val="29"/>
    <w:next w:val="29"/>
    <w:qFormat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31">
    <w:name w:val="A0"/>
    <w:qFormat/>
    <w:uiPriority w:val="99"/>
    <w:rPr>
      <w:rFonts w:cs="Futura Lt BT"/>
      <w:color w:val="221E1F"/>
      <w:sz w:val="18"/>
      <w:szCs w:val="18"/>
    </w:rPr>
  </w:style>
  <w:style w:type="character" w:customStyle="1" w:styleId="32">
    <w:name w:val="批注框文本 字符"/>
    <w:basedOn w:val="14"/>
    <w:link w:val="6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33">
    <w:name w:val="标题 1 字符"/>
    <w:basedOn w:val="14"/>
    <w:link w:val="2"/>
    <w:qFormat/>
    <w:uiPriority w:val="9"/>
    <w:rPr>
      <w:rFonts w:ascii="Times New Roman" w:hAnsi="Times New Roman" w:eastAsia="Times New Roman" w:cs="Times New Roman"/>
      <w:b/>
      <w:bCs/>
      <w:kern w:val="44"/>
      <w:sz w:val="44"/>
      <w:szCs w:val="44"/>
    </w:rPr>
  </w:style>
  <w:style w:type="character" w:customStyle="1" w:styleId="34">
    <w:name w:val="highlight"/>
    <w:basedOn w:val="14"/>
    <w:uiPriority w:val="0"/>
  </w:style>
  <w:style w:type="character" w:customStyle="1" w:styleId="35">
    <w:name w:val="pl"/>
    <w:basedOn w:val="14"/>
    <w:qFormat/>
    <w:uiPriority w:val="0"/>
  </w:style>
  <w:style w:type="character" w:customStyle="1" w:styleId="36">
    <w:name w:val="纯文本 字符"/>
    <w:basedOn w:val="14"/>
    <w:link w:val="5"/>
    <w:qFormat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37">
    <w:name w:val="fontstyle01"/>
    <w:basedOn w:val="14"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E9D0-B83F-4E0D-ACFD-E81712A0D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4677</Words>
  <Characters>5780</Characters>
  <Lines>53</Lines>
  <Paragraphs>15</Paragraphs>
  <TotalTime>0</TotalTime>
  <ScaleCrop>false</ScaleCrop>
  <LinksUpToDate>false</LinksUpToDate>
  <CharactersWithSpaces>6105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2023-08-21T11:38:00Z</dcterms:created>
  <dc:creator>Yiwei Fang</dc:creator>
  <cp:keywords>, docId:F844E2AE7C68F311A92EEF8BF2DF7FF0</cp:keywords>
  <cp:lastModifiedBy>Administrator</cp:lastModifiedBy>
  <dcterms:modified xsi:type="dcterms:W3CDTF">2023-08-23T07:16:17Z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eyJoZGlkIjoiYmRhZmY3MWExN2ExMTg3NzQ3NzhhZTlmYmFmOTUwZjEifQ==</vt:lpwstr>
  </property>
  <property fmtid="{D5CDD505-2E9C-101B-9397-08002B2CF9AE}" pid="3" name="KSOProductBuildVer">
    <vt:lpwstr>2052-11.1.0.14309</vt:lpwstr>
  </property>
  <property fmtid="{D5CDD505-2E9C-101B-9397-08002B2CF9AE}" pid="4" name="ICV">
    <vt:lpwstr>3B1AA59E8C0248198C95A3CDEC7CB168</vt:lpwstr>
  </property>
</Properties>
</file>