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《国际商务 》课程教学大纲</w:t>
      </w:r>
    </w:p>
    <w:p>
      <w:pPr>
        <w:pStyle w:val="2"/>
        <w:spacing w:before="156" w:beforeLines="50" w:after="156" w:afterLines="50"/>
        <w:ind w:firstLine="560" w:firstLineChars="200"/>
        <w:jc w:val="left"/>
        <w:rPr>
          <w:rFonts w:hAnsi="宋体" w:cs="宋体"/>
        </w:rPr>
      </w:pPr>
      <w:r>
        <w:rPr>
          <w:rFonts w:hint="eastAsia" w:ascii="黑体" w:hAnsi="黑体" w:eastAsia="黑体" w:cs="宋体"/>
          <w:sz w:val="28"/>
          <w:szCs w:val="28"/>
        </w:rPr>
        <w:t>一、课程基本信息</w:t>
      </w:r>
    </w:p>
    <w:tbl>
      <w:tblPr>
        <w:tblStyle w:val="7"/>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546"/>
        <w:gridCol w:w="1701"/>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2546" w:type="dxa"/>
            <w:vAlign w:val="center"/>
          </w:tcPr>
          <w:p>
            <w:pPr>
              <w:spacing w:before="156" w:beforeLines="50" w:after="156" w:afterLines="50"/>
              <w:jc w:val="left"/>
              <w:rPr>
                <w:rFonts w:ascii="宋体" w:hAnsi="宋体" w:eastAsia="宋体" w:cs="宋体"/>
                <w:szCs w:val="21"/>
              </w:rPr>
            </w:pPr>
            <w:r>
              <w:rPr>
                <w:rFonts w:ascii="宋体" w:hAnsi="宋体" w:eastAsia="宋体" w:cs="宋体"/>
                <w:szCs w:val="21"/>
              </w:rPr>
              <w:t xml:space="preserve">International </w:t>
            </w:r>
            <w:r>
              <w:rPr>
                <w:rFonts w:hint="eastAsia" w:ascii="宋体" w:hAnsi="宋体" w:eastAsia="宋体" w:cs="宋体"/>
                <w:szCs w:val="21"/>
              </w:rPr>
              <w:t>B</w:t>
            </w:r>
            <w:r>
              <w:rPr>
                <w:rFonts w:ascii="宋体" w:hAnsi="宋体" w:eastAsia="宋体" w:cs="宋体"/>
                <w:szCs w:val="21"/>
              </w:rPr>
              <w:t xml:space="preserve">usiness </w:t>
            </w:r>
          </w:p>
        </w:tc>
        <w:tc>
          <w:tcPr>
            <w:tcW w:w="1701"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课程代码</w:t>
            </w:r>
          </w:p>
        </w:tc>
        <w:tc>
          <w:tcPr>
            <w:tcW w:w="3316" w:type="dxa"/>
            <w:vAlign w:val="center"/>
          </w:tcPr>
          <w:p>
            <w:pPr>
              <w:spacing w:before="156" w:beforeLines="50" w:after="156" w:afterLines="50"/>
              <w:rPr>
                <w:rFonts w:ascii="宋体" w:hAnsi="宋体" w:eastAsia="宋体" w:cs="宋体"/>
                <w:szCs w:val="21"/>
              </w:rPr>
            </w:pPr>
            <w:r>
              <w:rPr>
                <w:rFonts w:hint="eastAsia" w:ascii="宋体" w:hAnsi="宋体" w:eastAsia="宋体" w:cs="宋体"/>
                <w:szCs w:val="21"/>
              </w:rPr>
              <w:t>IETT</w:t>
            </w:r>
            <w:r>
              <w:rPr>
                <w:rFonts w:ascii="宋体" w:hAnsi="宋体" w:eastAsia="宋体" w:cs="宋体"/>
                <w:szCs w:val="21"/>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2546" w:type="dxa"/>
            <w:vAlign w:val="center"/>
          </w:tcPr>
          <w:p>
            <w:pPr>
              <w:spacing w:before="156" w:beforeLines="50" w:after="156" w:afterLines="50"/>
              <w:jc w:val="left"/>
              <w:rPr>
                <w:rFonts w:ascii="宋体" w:hAnsi="宋体" w:eastAsia="宋体" w:cs="宋体"/>
                <w:szCs w:val="21"/>
              </w:rPr>
            </w:pPr>
            <w:r>
              <w:rPr>
                <w:rFonts w:hint="eastAsia" w:ascii="宋体" w:hAnsi="宋体" w:eastAsia="宋体" w:cs="宋体"/>
                <w:szCs w:val="21"/>
              </w:rPr>
              <w:t>专业选修课程</w:t>
            </w:r>
          </w:p>
        </w:tc>
        <w:tc>
          <w:tcPr>
            <w:tcW w:w="1701"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授课对象</w:t>
            </w:r>
          </w:p>
        </w:tc>
        <w:tc>
          <w:tcPr>
            <w:tcW w:w="3316" w:type="dxa"/>
            <w:vAlign w:val="center"/>
          </w:tcPr>
          <w:p>
            <w:pPr>
              <w:spacing w:before="156" w:beforeLines="50" w:after="156" w:afterLines="50"/>
              <w:rPr>
                <w:rFonts w:ascii="宋体" w:hAnsi="宋体" w:eastAsia="宋体" w:cs="宋体"/>
                <w:szCs w:val="21"/>
              </w:rPr>
            </w:pPr>
            <w:r>
              <w:rPr>
                <w:rFonts w:hint="eastAsia" w:ascii="宋体" w:hAnsi="宋体" w:eastAsia="宋体" w:cs="宋体"/>
                <w:szCs w:val="21"/>
              </w:rPr>
              <w:t>国际经济与贸易专业</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2546" w:type="dxa"/>
            <w:vAlign w:val="center"/>
          </w:tcPr>
          <w:p>
            <w:pPr>
              <w:spacing w:before="156" w:beforeLines="50" w:after="156" w:afterLines="50"/>
              <w:jc w:val="left"/>
              <w:rPr>
                <w:rFonts w:ascii="宋体" w:hAnsi="宋体" w:eastAsia="宋体" w:cs="宋体"/>
                <w:szCs w:val="21"/>
              </w:rPr>
            </w:pPr>
            <w:r>
              <w:rPr>
                <w:rFonts w:hint="eastAsia" w:ascii="宋体" w:hAnsi="宋体" w:eastAsia="宋体" w:cs="宋体"/>
                <w:szCs w:val="21"/>
              </w:rPr>
              <w:t>3</w:t>
            </w:r>
          </w:p>
        </w:tc>
        <w:tc>
          <w:tcPr>
            <w:tcW w:w="1701"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学   时</w:t>
            </w:r>
          </w:p>
        </w:tc>
        <w:tc>
          <w:tcPr>
            <w:tcW w:w="3316" w:type="dxa"/>
            <w:vAlign w:val="center"/>
          </w:tcPr>
          <w:p>
            <w:pPr>
              <w:spacing w:before="156" w:beforeLines="50" w:after="156" w:afterLines="50"/>
              <w:rPr>
                <w:rFonts w:ascii="宋体" w:hAnsi="宋体" w:eastAsia="宋体" w:cs="宋体"/>
                <w:szCs w:val="21"/>
              </w:rPr>
            </w:pPr>
            <w:r>
              <w:rPr>
                <w:rFonts w:hint="eastAsia" w:ascii="宋体" w:hAnsi="宋体" w:eastAsia="宋体" w:cs="宋体"/>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2546" w:type="dxa"/>
            <w:vAlign w:val="center"/>
          </w:tcPr>
          <w:p>
            <w:pPr>
              <w:spacing w:before="156" w:beforeLines="50" w:after="156" w:afterLines="50"/>
              <w:jc w:val="left"/>
              <w:rPr>
                <w:rFonts w:ascii="宋体" w:hAnsi="宋体" w:eastAsia="宋体" w:cs="宋体"/>
                <w:szCs w:val="21"/>
              </w:rPr>
            </w:pPr>
            <w:r>
              <w:rPr>
                <w:rFonts w:hint="eastAsia" w:ascii="宋体" w:hAnsi="宋体" w:eastAsia="宋体" w:cs="宋体"/>
                <w:szCs w:val="21"/>
              </w:rPr>
              <w:t>蒋珠燕</w:t>
            </w:r>
          </w:p>
        </w:tc>
        <w:tc>
          <w:tcPr>
            <w:tcW w:w="1701"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修订日期</w:t>
            </w:r>
          </w:p>
        </w:tc>
        <w:tc>
          <w:tcPr>
            <w:tcW w:w="3316" w:type="dxa"/>
            <w:vAlign w:val="center"/>
          </w:tcPr>
          <w:p>
            <w:pPr>
              <w:spacing w:before="156" w:beforeLines="50" w:after="156" w:afterLines="50"/>
              <w:rPr>
                <w:rFonts w:ascii="宋体" w:hAnsi="宋体" w:eastAsia="宋体" w:cs="宋体"/>
                <w:szCs w:val="21"/>
              </w:rPr>
            </w:pPr>
            <w:r>
              <w:rPr>
                <w:rFonts w:hint="eastAsia" w:ascii="宋体" w:hAnsi="宋体" w:eastAsia="宋体" w:cs="宋体"/>
                <w:szCs w:val="21"/>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cs="宋体"/>
                <w:szCs w:val="21"/>
              </w:rPr>
            </w:pPr>
            <w:r>
              <w:rPr>
                <w:rFonts w:hint="eastAsia" w:ascii="宋体" w:hAnsi="宋体" w:eastAsia="宋体" w:cs="宋体"/>
                <w:szCs w:val="20"/>
              </w:rPr>
              <w:t xml:space="preserve">王炜瀚 </w:t>
            </w:r>
            <w:r>
              <w:rPr>
                <w:rFonts w:ascii="宋体" w:hAnsi="宋体" w:eastAsia="宋体" w:cs="宋体"/>
                <w:szCs w:val="20"/>
              </w:rPr>
              <w:t xml:space="preserve"> </w:t>
            </w:r>
            <w:r>
              <w:rPr>
                <w:rFonts w:hint="eastAsia" w:ascii="宋体" w:hAnsi="宋体" w:eastAsia="宋体" w:cs="宋体"/>
                <w:szCs w:val="20"/>
              </w:rPr>
              <w:t xml:space="preserve">王健等编著 </w:t>
            </w:r>
            <w:r>
              <w:rPr>
                <w:rFonts w:ascii="宋体" w:hAnsi="宋体" w:eastAsia="宋体" w:cs="宋体"/>
                <w:szCs w:val="20"/>
              </w:rPr>
              <w:t xml:space="preserve">  </w:t>
            </w:r>
            <w:r>
              <w:rPr>
                <w:rFonts w:hint="eastAsia" w:ascii="宋体" w:hAnsi="宋体" w:eastAsia="宋体" w:cs="宋体"/>
                <w:szCs w:val="20"/>
              </w:rPr>
              <w:t>《国际商务》 （第4版）</w:t>
            </w:r>
            <w:r>
              <w:rPr>
                <w:rFonts w:ascii="宋体" w:hAnsi="宋体" w:eastAsia="宋体" w:cs="宋体"/>
                <w:szCs w:val="20"/>
              </w:rPr>
              <w:t xml:space="preserve"> </w:t>
            </w:r>
            <w:r>
              <w:rPr>
                <w:rFonts w:hint="eastAsia" w:ascii="宋体" w:hAnsi="宋体" w:eastAsia="宋体" w:cs="宋体"/>
                <w:szCs w:val="20"/>
              </w:rPr>
              <w:t>机械工业出版社</w:t>
            </w:r>
          </w:p>
        </w:tc>
      </w:tr>
    </w:tbl>
    <w:p>
      <w:pPr>
        <w:pStyle w:val="2"/>
        <w:spacing w:before="156" w:beforeLines="50" w:after="156" w:afterLines="50"/>
        <w:ind w:firstLine="560" w:firstLineChars="200"/>
        <w:rPr>
          <w:rFonts w:hAnsi="宋体" w:eastAsia="黑体" w:cs="宋体"/>
        </w:rPr>
      </w:pPr>
      <w:r>
        <w:rPr>
          <w:rFonts w:hint="eastAsia" w:ascii="黑体" w:hAnsi="黑体" w:eastAsia="黑体" w:cs="宋体"/>
          <w:sz w:val="28"/>
          <w:szCs w:val="28"/>
        </w:rPr>
        <w:t>二、课程目标</w:t>
      </w:r>
    </w:p>
    <w:p>
      <w:pPr>
        <w:pStyle w:val="2"/>
        <w:spacing w:before="156" w:beforeLines="50" w:after="156" w:afterLines="50"/>
        <w:ind w:firstLine="480" w:firstLineChars="200"/>
        <w:rPr>
          <w:rFonts w:ascii="黑体" w:hAnsi="黑体" w:eastAsia="黑体" w:cs="宋体"/>
          <w:sz w:val="24"/>
          <w:szCs w:val="24"/>
        </w:rPr>
      </w:pPr>
      <w:r>
        <w:rPr>
          <w:rFonts w:hint="eastAsia" w:ascii="黑体" w:hAnsi="黑体" w:eastAsia="黑体" w:cs="宋体"/>
          <w:sz w:val="24"/>
          <w:szCs w:val="24"/>
        </w:rPr>
        <w:t>（一）总体目标</w:t>
      </w:r>
    </w:p>
    <w:p>
      <w:pPr>
        <w:spacing w:line="360" w:lineRule="auto"/>
        <w:ind w:firstLine="420" w:firstLineChars="200"/>
        <w:rPr>
          <w:rFonts w:ascii="宋体" w:hAnsi="宋体" w:eastAsia="宋体" w:cs="宋体"/>
        </w:rPr>
      </w:pPr>
      <w:r>
        <w:rPr>
          <w:rFonts w:hint="eastAsia" w:ascii="宋体" w:hAnsi="宋体" w:eastAsia="宋体" w:cs="宋体"/>
          <w:szCs w:val="20"/>
        </w:rPr>
        <w:t>本课程是针对</w:t>
      </w:r>
      <w:r>
        <w:rPr>
          <w:rFonts w:hint="eastAsia" w:ascii="宋体" w:hAnsi="宋体" w:eastAsia="宋体" w:cs="宋体"/>
        </w:rPr>
        <w:t>国际经济与贸易专业留学生开设的选修课</w:t>
      </w:r>
      <w:r>
        <w:rPr>
          <w:rFonts w:hint="eastAsia" w:ascii="宋体" w:hAnsi="宋体" w:eastAsia="宋体" w:cs="宋体"/>
          <w:szCs w:val="20"/>
        </w:rPr>
        <w:t>之一。</w:t>
      </w:r>
      <w:r>
        <w:rPr>
          <w:rFonts w:hint="eastAsia" w:ascii="宋体" w:hAnsi="宋体" w:eastAsia="宋体"/>
          <w:bCs/>
        </w:rPr>
        <w:t>本课程将使学生能够了解全球化背景下国际商务活动的现实概貌，掌握分析国际商务环境的系统知识；理解国际商务战略思维的概念框架，具有应对复杂国际商务环境的学习能力、分析技能和战略意识。同时</w:t>
      </w:r>
      <w:r>
        <w:rPr>
          <w:rFonts w:hint="eastAsia" w:ascii="宋体" w:hAnsi="宋体" w:eastAsia="宋体" w:cs="宋体"/>
        </w:rPr>
        <w:t>培养学生对企业社会责任和可持续性商业利益相关者模式的理解。</w:t>
      </w:r>
    </w:p>
    <w:p>
      <w:pPr>
        <w:pStyle w:val="2"/>
        <w:spacing w:before="156" w:beforeLines="50" w:after="156" w:afterLines="50"/>
        <w:ind w:firstLine="480" w:firstLineChars="200"/>
        <w:rPr>
          <w:rFonts w:ascii="黑体" w:hAnsi="黑体" w:eastAsia="黑体" w:cs="宋体"/>
          <w:sz w:val="24"/>
          <w:szCs w:val="24"/>
        </w:rPr>
      </w:pPr>
      <w:r>
        <w:rPr>
          <w:rFonts w:hint="eastAsia" w:ascii="黑体" w:hAnsi="黑体" w:eastAsia="黑体" w:cs="宋体"/>
          <w:sz w:val="24"/>
          <w:szCs w:val="24"/>
        </w:rPr>
        <w:t>（二）课程目标</w:t>
      </w:r>
    </w:p>
    <w:p>
      <w:pPr>
        <w:widowControl/>
        <w:spacing w:line="360" w:lineRule="auto"/>
        <w:ind w:firstLine="422" w:firstLineChars="200"/>
        <w:contextualSpacing/>
        <w:rPr>
          <w:rFonts w:ascii="宋体" w:hAnsi="宋体" w:eastAsia="宋体" w:cs="宋体"/>
          <w:b/>
          <w:szCs w:val="20"/>
        </w:rPr>
      </w:pPr>
      <w:r>
        <w:rPr>
          <w:rFonts w:hint="eastAsia" w:ascii="宋体" w:hAnsi="宋体" w:eastAsia="宋体" w:cs="宋体"/>
          <w:b/>
          <w:szCs w:val="20"/>
        </w:rPr>
        <w:t>课程目标1：</w:t>
      </w:r>
      <w:r>
        <w:rPr>
          <w:rFonts w:ascii="宋体" w:hAnsi="宋体" w:eastAsia="宋体" w:cs="宋体"/>
          <w:szCs w:val="20"/>
        </w:rPr>
        <w:t xml:space="preserve"> </w:t>
      </w:r>
      <w:r>
        <w:rPr>
          <w:rFonts w:hint="eastAsia" w:ascii="宋体" w:hAnsi="宋体" w:eastAsia="宋体" w:cs="宋体"/>
          <w:szCs w:val="20"/>
        </w:rPr>
        <w:t>掌握各种商务环境对国际商务活动的影响，让学生具有适应全球复杂经济、政治、社会、文化与语言、政策与法规环境的能力。</w:t>
      </w:r>
    </w:p>
    <w:p>
      <w:pPr>
        <w:spacing w:line="360" w:lineRule="auto"/>
        <w:ind w:firstLine="420" w:firstLineChars="200"/>
        <w:rPr>
          <w:rFonts w:ascii="宋体" w:hAnsi="宋体" w:eastAsia="宋体" w:cs="宋体"/>
        </w:rPr>
      </w:pPr>
      <w:r>
        <w:rPr>
          <w:rFonts w:ascii="宋体" w:hAnsi="宋体" w:eastAsia="宋体" w:cs="宋体"/>
        </w:rPr>
        <w:t xml:space="preserve">1.1 </w:t>
      </w:r>
      <w:r>
        <w:rPr>
          <w:rFonts w:hint="eastAsia" w:ascii="宋体" w:hAnsi="宋体" w:eastAsia="宋体" w:cs="宋体"/>
        </w:rPr>
        <w:t>掌握社会文化环境和国际商务活动的关系</w:t>
      </w:r>
    </w:p>
    <w:p>
      <w:pPr>
        <w:pStyle w:val="2"/>
        <w:spacing w:before="156" w:beforeLines="50" w:after="156" w:afterLines="50"/>
        <w:ind w:firstLine="420" w:firstLineChars="200"/>
        <w:rPr>
          <w:rFonts w:hAnsi="宋体" w:cs="宋体"/>
          <w:szCs w:val="22"/>
        </w:rPr>
      </w:pPr>
      <w:r>
        <w:rPr>
          <w:rFonts w:hAnsi="宋体" w:cs="宋体"/>
          <w:szCs w:val="22"/>
        </w:rPr>
        <w:t>1</w:t>
      </w:r>
      <w:r>
        <w:rPr>
          <w:rFonts w:hint="eastAsia" w:hAnsi="宋体" w:cs="宋体"/>
          <w:szCs w:val="22"/>
        </w:rPr>
        <w:t>.</w:t>
      </w:r>
      <w:r>
        <w:rPr>
          <w:rFonts w:hAnsi="宋体" w:cs="宋体"/>
          <w:szCs w:val="22"/>
        </w:rPr>
        <w:t>2</w:t>
      </w:r>
      <w:r>
        <w:rPr>
          <w:rFonts w:hint="eastAsia" w:hAnsi="宋体" w:cs="宋体"/>
          <w:szCs w:val="22"/>
        </w:rPr>
        <w:t>掌握政治与法律环境对国际商务活动的影响</w:t>
      </w:r>
    </w:p>
    <w:p>
      <w:pPr>
        <w:pStyle w:val="2"/>
        <w:spacing w:before="156" w:beforeLines="50" w:after="156" w:afterLines="50"/>
        <w:ind w:firstLine="420" w:firstLineChars="200"/>
        <w:rPr>
          <w:rFonts w:hAnsi="宋体" w:cs="宋体"/>
          <w:szCs w:val="22"/>
        </w:rPr>
      </w:pPr>
      <w:r>
        <w:rPr>
          <w:rFonts w:hint="eastAsia" w:hAnsi="宋体" w:cs="宋体"/>
          <w:szCs w:val="22"/>
        </w:rPr>
        <w:t>1.3</w:t>
      </w:r>
      <w:r>
        <w:rPr>
          <w:rFonts w:hAnsi="宋体" w:cs="宋体"/>
          <w:szCs w:val="22"/>
        </w:rPr>
        <w:t xml:space="preserve"> </w:t>
      </w:r>
      <w:r>
        <w:rPr>
          <w:rFonts w:hint="eastAsia" w:hAnsi="宋体" w:cs="宋体"/>
          <w:szCs w:val="22"/>
        </w:rPr>
        <w:t>掌握自然资源和可持续发展和国际商务活动的关系</w:t>
      </w:r>
    </w:p>
    <w:p>
      <w:pPr>
        <w:pStyle w:val="2"/>
        <w:spacing w:before="156" w:beforeLines="50" w:after="156" w:afterLines="50"/>
        <w:ind w:firstLine="420" w:firstLineChars="200"/>
        <w:rPr>
          <w:rFonts w:hAnsi="宋体" w:cs="宋体"/>
          <w:szCs w:val="22"/>
        </w:rPr>
      </w:pPr>
      <w:r>
        <w:rPr>
          <w:rFonts w:hint="eastAsia" w:hAnsi="宋体" w:cs="宋体"/>
          <w:szCs w:val="22"/>
        </w:rPr>
        <w:t>1.</w:t>
      </w:r>
      <w:r>
        <w:rPr>
          <w:rFonts w:hAnsi="宋体" w:cs="宋体"/>
          <w:szCs w:val="22"/>
        </w:rPr>
        <w:t xml:space="preserve">4 </w:t>
      </w:r>
      <w:r>
        <w:rPr>
          <w:rFonts w:hint="eastAsia" w:hAnsi="宋体" w:cs="宋体"/>
          <w:szCs w:val="22"/>
        </w:rPr>
        <w:t>掌握</w:t>
      </w:r>
      <w:r>
        <w:rPr>
          <w:rFonts w:hAnsi="宋体" w:cs="宋体"/>
          <w:szCs w:val="22"/>
        </w:rPr>
        <w:t>经济与社会经济环境</w:t>
      </w:r>
      <w:r>
        <w:rPr>
          <w:rFonts w:hint="eastAsia" w:hAnsi="宋体" w:cs="宋体"/>
          <w:szCs w:val="22"/>
        </w:rPr>
        <w:t>对国际商务活动的影响</w:t>
      </w:r>
    </w:p>
    <w:p>
      <w:pPr>
        <w:pStyle w:val="15"/>
        <w:spacing w:line="360" w:lineRule="auto"/>
        <w:ind w:firstLine="420" w:firstLineChars="200"/>
        <w:jc w:val="both"/>
        <w:rPr>
          <w:rFonts w:ascii="宋体" w:hAnsi="宋体" w:eastAsia="宋体" w:cs="宋体"/>
          <w:b w:val="0"/>
          <w:snapToGrid/>
          <w:kern w:val="2"/>
          <w:sz w:val="21"/>
          <w:szCs w:val="22"/>
        </w:rPr>
      </w:pPr>
      <w:r>
        <w:rPr>
          <w:rFonts w:hint="eastAsia" w:ascii="宋体" w:hAnsi="宋体" w:eastAsia="宋体" w:cs="宋体"/>
          <w:b w:val="0"/>
          <w:snapToGrid/>
          <w:kern w:val="2"/>
          <w:sz w:val="21"/>
          <w:szCs w:val="22"/>
        </w:rPr>
        <w:t>1.</w:t>
      </w:r>
      <w:r>
        <w:rPr>
          <w:rFonts w:ascii="宋体" w:hAnsi="宋体" w:eastAsia="宋体" w:cs="宋体"/>
          <w:b w:val="0"/>
          <w:snapToGrid/>
          <w:kern w:val="2"/>
          <w:sz w:val="21"/>
          <w:szCs w:val="22"/>
        </w:rPr>
        <w:t xml:space="preserve">5 </w:t>
      </w:r>
      <w:r>
        <w:rPr>
          <w:rFonts w:hint="eastAsia" w:ascii="宋体" w:hAnsi="宋体" w:eastAsia="宋体" w:cs="宋体"/>
          <w:b w:val="0"/>
          <w:snapToGrid/>
          <w:kern w:val="2"/>
          <w:sz w:val="21"/>
          <w:szCs w:val="22"/>
        </w:rPr>
        <w:t>掌握跨国商务环境的评估方法</w:t>
      </w:r>
    </w:p>
    <w:p>
      <w:pPr>
        <w:pStyle w:val="2"/>
        <w:spacing w:before="156" w:beforeLines="50" w:after="156" w:afterLines="50"/>
        <w:ind w:firstLine="422" w:firstLineChars="200"/>
        <w:rPr>
          <w:rFonts w:hAnsi="宋体" w:cs="宋体"/>
        </w:rPr>
      </w:pPr>
      <w:r>
        <w:rPr>
          <w:rFonts w:hint="eastAsia" w:hAnsi="宋体" w:cs="宋体"/>
          <w:b/>
        </w:rPr>
        <w:t>课程目标2：</w:t>
      </w:r>
      <w:r>
        <w:rPr>
          <w:rFonts w:hint="eastAsia" w:hAnsi="宋体" w:cs="宋体"/>
        </w:rPr>
        <w:t>了解企业战略的知识结构，理解国际企业战略的内涵，掌握国际化战略的含义与分框架；理解企业的组织架构的基本要素，熟悉国际企业结构的基本类型及其特征。</w:t>
      </w:r>
    </w:p>
    <w:p>
      <w:pPr>
        <w:pStyle w:val="2"/>
        <w:spacing w:before="156" w:beforeLines="50" w:after="156" w:afterLines="50"/>
        <w:ind w:firstLine="420" w:firstLineChars="200"/>
        <w:rPr>
          <w:rFonts w:hAnsi="宋体" w:cs="宋体"/>
        </w:rPr>
      </w:pPr>
      <w:r>
        <w:rPr>
          <w:rFonts w:hint="eastAsia" w:hAnsi="宋体" w:cs="宋体"/>
        </w:rPr>
        <w:t>2．1 掌握I</w:t>
      </w:r>
      <w:r>
        <w:rPr>
          <w:rFonts w:hAnsi="宋体" w:cs="宋体"/>
        </w:rPr>
        <w:t>-R</w:t>
      </w:r>
      <w:r>
        <w:rPr>
          <w:rFonts w:hint="eastAsia" w:hAnsi="宋体" w:cs="宋体"/>
        </w:rPr>
        <w:t>框架及I-R框架下的全球战略</w:t>
      </w:r>
    </w:p>
    <w:p>
      <w:pPr>
        <w:pStyle w:val="2"/>
        <w:spacing w:before="156" w:beforeLines="50" w:after="156" w:afterLines="50"/>
        <w:ind w:firstLine="420" w:firstLineChars="200"/>
        <w:rPr>
          <w:rFonts w:hAnsi="宋体" w:cs="宋体"/>
        </w:rPr>
      </w:pPr>
      <w:r>
        <w:rPr>
          <w:rFonts w:hint="eastAsia" w:hAnsi="宋体" w:cs="宋体"/>
        </w:rPr>
        <w:t>2．2 掌握企业结构的基本类型及其特征</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 xml:space="preserve">3  </w:t>
      </w:r>
      <w:r>
        <w:rPr>
          <w:rFonts w:hint="eastAsia" w:hAnsi="宋体" w:cs="宋体"/>
        </w:rPr>
        <w:t>掌握 I-R框架下的组织模型</w:t>
      </w:r>
    </w:p>
    <w:p>
      <w:pPr>
        <w:pStyle w:val="2"/>
        <w:spacing w:before="156" w:beforeLines="50" w:after="156" w:afterLines="50"/>
        <w:ind w:firstLine="422" w:firstLineChars="200"/>
        <w:rPr>
          <w:rFonts w:hAnsi="宋体" w:cs="宋体" w:asciiTheme="minorHAnsi" w:eastAsiaTheme="minorEastAsia"/>
          <w:szCs w:val="22"/>
        </w:rPr>
      </w:pPr>
      <w:r>
        <w:rPr>
          <w:rFonts w:hint="eastAsia" w:hAnsi="宋体" w:cs="宋体"/>
          <w:b/>
        </w:rPr>
        <w:t>课程目标3：</w:t>
      </w:r>
      <w:r>
        <w:rPr>
          <w:rFonts w:hint="eastAsia" w:hAnsi="宋体" w:cs="宋体"/>
        </w:rPr>
        <w:t>掌握目标市场选择方法和各种国际市场的进入方式；能够根据本国实际情况选择合适的国际市场进入方式，让学生具备</w:t>
      </w:r>
      <w:r>
        <w:rPr>
          <w:rFonts w:hint="eastAsia"/>
          <w:color w:val="000000" w:themeColor="text1"/>
          <w14:textFill>
            <w14:solidFill>
              <w14:schemeClr w14:val="tx1"/>
            </w14:solidFill>
          </w14:textFill>
        </w:rPr>
        <w:t>适应经济全球化的需要，有开拓新市场渠道、从事外包业务和垂直生产分工、管理国际企业和谈判的能力</w:t>
      </w:r>
      <w:r>
        <w:rPr>
          <w:rFonts w:hint="eastAsia" w:hAnsi="宋体" w:cs="宋体" w:asciiTheme="minorHAnsi" w:eastAsiaTheme="minorEastAsia"/>
          <w:szCs w:val="22"/>
        </w:rPr>
        <w:t>。</w:t>
      </w:r>
    </w:p>
    <w:p>
      <w:pPr>
        <w:pStyle w:val="2"/>
        <w:spacing w:before="156" w:beforeLines="50" w:after="156" w:afterLines="50"/>
        <w:ind w:firstLine="420" w:firstLineChars="200"/>
        <w:rPr>
          <w:rFonts w:hAnsi="宋体" w:cs="宋体"/>
          <w:szCs w:val="22"/>
        </w:rPr>
      </w:pPr>
      <w:r>
        <w:rPr>
          <w:rFonts w:hint="eastAsia" w:hAnsi="宋体" w:cs="宋体"/>
          <w:szCs w:val="22"/>
        </w:rPr>
        <w:t>3．1</w:t>
      </w:r>
      <w:r>
        <w:rPr>
          <w:rFonts w:hAnsi="宋体" w:cs="宋体"/>
          <w:szCs w:val="22"/>
        </w:rPr>
        <w:t xml:space="preserve"> </w:t>
      </w:r>
      <w:r>
        <w:rPr>
          <w:rFonts w:hint="eastAsia" w:hAnsi="宋体" w:cs="宋体"/>
          <w:szCs w:val="22"/>
        </w:rPr>
        <w:t>如何筛选目标市场？</w:t>
      </w:r>
    </w:p>
    <w:p>
      <w:pPr>
        <w:pStyle w:val="2"/>
        <w:spacing w:before="156" w:beforeLines="50" w:after="156" w:afterLines="50"/>
        <w:ind w:firstLine="210" w:firstLineChars="100"/>
        <w:rPr>
          <w:rFonts w:hAnsi="宋体" w:cs="宋体"/>
          <w:szCs w:val="22"/>
        </w:rPr>
      </w:pPr>
      <w:r>
        <w:rPr>
          <w:rFonts w:hint="eastAsia" w:hAnsi="宋体" w:cs="宋体"/>
          <w:szCs w:val="22"/>
        </w:rPr>
        <w:t xml:space="preserve"> </w:t>
      </w:r>
      <w:r>
        <w:rPr>
          <w:rFonts w:hAnsi="宋体" w:cs="宋体"/>
          <w:szCs w:val="22"/>
        </w:rPr>
        <w:t xml:space="preserve"> </w:t>
      </w:r>
      <w:r>
        <w:rPr>
          <w:rFonts w:hint="eastAsia" w:hAnsi="宋体" w:cs="宋体"/>
          <w:szCs w:val="22"/>
        </w:rPr>
        <w:t>3．2 各种</w:t>
      </w:r>
      <w:r>
        <w:rPr>
          <w:rFonts w:hAnsi="宋体" w:cs="宋体"/>
          <w:szCs w:val="22"/>
        </w:rPr>
        <w:t>国际市场进入方式</w:t>
      </w:r>
      <w:r>
        <w:rPr>
          <w:rFonts w:hint="eastAsia" w:hAnsi="宋体" w:cs="宋体"/>
          <w:szCs w:val="22"/>
        </w:rPr>
        <w:t>的利弊分析</w:t>
      </w:r>
    </w:p>
    <w:p>
      <w:pPr>
        <w:pStyle w:val="2"/>
        <w:spacing w:before="156" w:beforeLines="50" w:after="156" w:afterLines="50"/>
        <w:jc w:val="left"/>
        <w:rPr>
          <w:rFonts w:ascii="黑体" w:hAnsi="黑体" w:eastAsia="黑体" w:cs="宋体"/>
          <w:sz w:val="24"/>
          <w:szCs w:val="24"/>
        </w:rPr>
      </w:pPr>
      <w:r>
        <w:rPr>
          <w:rFonts w:hint="eastAsia" w:ascii="黑体" w:hAnsi="黑体" w:eastAsia="黑体" w:cs="宋体"/>
          <w:sz w:val="24"/>
          <w:szCs w:val="24"/>
        </w:rPr>
        <w:t>（三）课程目标与毕业要求、课程内容的对应关系</w:t>
      </w:r>
    </w:p>
    <w:p>
      <w:pPr>
        <w:pStyle w:val="2"/>
        <w:spacing w:before="156" w:beforeLines="50" w:after="156" w:afterLines="50"/>
        <w:jc w:val="center"/>
        <w:rPr>
          <w:rFonts w:ascii="黑体" w:hAnsi="宋体"/>
          <w:b/>
          <w:bCs/>
          <w:szCs w:val="21"/>
        </w:rPr>
      </w:pPr>
      <w:r>
        <w:rPr>
          <w:rFonts w:hint="eastAsia" w:ascii="黑体" w:hAnsi="宋体"/>
          <w:b/>
          <w:bCs/>
          <w:szCs w:val="21"/>
        </w:rPr>
        <w:t>表1：课程目标与课程内容、毕业要求的对应关系表</w:t>
      </w:r>
    </w:p>
    <w:tbl>
      <w:tblPr>
        <w:tblStyle w:val="7"/>
        <w:tblW w:w="7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98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846"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276"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1984"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34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846"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276" w:type="dxa"/>
            <w:vAlign w:val="center"/>
          </w:tcPr>
          <w:p>
            <w:pPr>
              <w:pStyle w:val="2"/>
              <w:spacing w:before="156" w:beforeLines="50" w:after="156" w:afterLines="50"/>
              <w:jc w:val="center"/>
              <w:rPr>
                <w:rFonts w:hAnsi="宋体" w:cs="宋体"/>
              </w:rPr>
            </w:pPr>
            <w:r>
              <w:rPr>
                <w:rFonts w:hint="eastAsia" w:hAnsi="宋体" w:cs="宋体"/>
              </w:rPr>
              <w:t>1.1</w:t>
            </w:r>
          </w:p>
        </w:tc>
        <w:tc>
          <w:tcPr>
            <w:tcW w:w="1984" w:type="dxa"/>
            <w:vAlign w:val="center"/>
          </w:tcPr>
          <w:p>
            <w:pPr>
              <w:spacing w:line="360" w:lineRule="auto"/>
              <w:jc w:val="left"/>
              <w:rPr>
                <w:rFonts w:ascii="宋体" w:hAnsi="宋体" w:eastAsia="宋体" w:cs="宋体"/>
              </w:rPr>
            </w:pPr>
            <w:r>
              <w:rPr>
                <w:rFonts w:hint="eastAsia" w:ascii="宋体" w:hAnsi="宋体" w:eastAsia="宋体" w:cs="宋体"/>
              </w:rPr>
              <w:t>社会文化环境</w:t>
            </w:r>
          </w:p>
        </w:tc>
        <w:tc>
          <w:tcPr>
            <w:tcW w:w="3402" w:type="dxa"/>
            <w:vAlign w:val="center"/>
          </w:tcPr>
          <w:p>
            <w:pPr>
              <w:pStyle w:val="2"/>
              <w:spacing w:before="156" w:beforeLines="50" w:after="156" w:afterLines="50"/>
              <w:rPr>
                <w:rFonts w:hAnsi="宋体" w:cs="宋体"/>
                <w:szCs w:val="22"/>
              </w:rPr>
            </w:pPr>
            <w:r>
              <w:rPr>
                <w:rFonts w:hint="eastAsia" w:hAnsi="宋体" w:cs="宋体"/>
                <w:szCs w:val="22"/>
              </w:rPr>
              <w:t>掌握社会文化的组成部分；世界主要国家的文化；文化差异及跨文化管理的思路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846" w:type="dxa"/>
            <w:vMerge w:val="continue"/>
            <w:vAlign w:val="center"/>
          </w:tcPr>
          <w:p>
            <w:pPr>
              <w:pStyle w:val="2"/>
              <w:spacing w:before="156" w:beforeLines="50" w:after="156" w:afterLines="50"/>
              <w:jc w:val="center"/>
              <w:rPr>
                <w:rFonts w:hAnsi="宋体" w:cs="宋体"/>
                <w:szCs w:val="21"/>
              </w:rPr>
            </w:pPr>
          </w:p>
        </w:tc>
        <w:tc>
          <w:tcPr>
            <w:tcW w:w="1276" w:type="dxa"/>
            <w:vAlign w:val="center"/>
          </w:tcPr>
          <w:p>
            <w:pPr>
              <w:pStyle w:val="2"/>
              <w:spacing w:before="156" w:beforeLines="50" w:after="156" w:afterLines="50"/>
              <w:jc w:val="center"/>
              <w:rPr>
                <w:rFonts w:hAnsi="宋体" w:cs="宋体"/>
              </w:rPr>
            </w:pPr>
            <w:r>
              <w:rPr>
                <w:rFonts w:hint="eastAsia" w:hAnsi="宋体" w:cs="宋体"/>
              </w:rPr>
              <w:t>1.2</w:t>
            </w:r>
          </w:p>
        </w:tc>
        <w:tc>
          <w:tcPr>
            <w:tcW w:w="1984" w:type="dxa"/>
            <w:vAlign w:val="center"/>
          </w:tcPr>
          <w:p>
            <w:pPr>
              <w:pStyle w:val="2"/>
              <w:spacing w:before="156" w:beforeLines="50" w:after="156" w:afterLines="50"/>
              <w:jc w:val="left"/>
              <w:rPr>
                <w:rFonts w:hAnsi="宋体"/>
                <w:b/>
                <w:bCs/>
                <w:szCs w:val="21"/>
              </w:rPr>
            </w:pPr>
            <w:r>
              <w:rPr>
                <w:rFonts w:hint="eastAsia" w:hAnsi="宋体" w:cs="宋体"/>
                <w:szCs w:val="22"/>
              </w:rPr>
              <w:t>政治与法律环境</w:t>
            </w:r>
          </w:p>
        </w:tc>
        <w:tc>
          <w:tcPr>
            <w:tcW w:w="3402" w:type="dxa"/>
            <w:vAlign w:val="center"/>
          </w:tcPr>
          <w:p>
            <w:pPr>
              <w:pStyle w:val="2"/>
              <w:spacing w:before="156" w:beforeLines="50" w:after="156" w:afterLines="50"/>
              <w:rPr>
                <w:rFonts w:hAnsi="宋体" w:cs="宋体"/>
                <w:szCs w:val="22"/>
              </w:rPr>
            </w:pPr>
            <w:r>
              <w:rPr>
                <w:rFonts w:hint="eastAsia" w:hAnsi="宋体" w:cs="宋体"/>
                <w:szCs w:val="22"/>
              </w:rPr>
              <w:t>掌握政治危险因素及管理条件；国际企业面临的相关法律问题。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vAlign w:val="center"/>
          </w:tcPr>
          <w:p>
            <w:pPr>
              <w:pStyle w:val="2"/>
              <w:spacing w:before="156" w:beforeLines="50" w:after="156" w:afterLines="50"/>
              <w:jc w:val="center"/>
              <w:rPr>
                <w:rFonts w:hAnsi="宋体" w:cs="宋体"/>
                <w:szCs w:val="21"/>
              </w:rPr>
            </w:pPr>
          </w:p>
        </w:tc>
        <w:tc>
          <w:tcPr>
            <w:tcW w:w="1276" w:type="dxa"/>
            <w:vAlign w:val="center"/>
          </w:tcPr>
          <w:p>
            <w:pPr>
              <w:pStyle w:val="2"/>
              <w:spacing w:before="156" w:beforeLines="50" w:after="156" w:afterLines="50"/>
              <w:jc w:val="center"/>
              <w:rPr>
                <w:rFonts w:hAnsi="宋体" w:cs="宋体"/>
              </w:rPr>
            </w:pPr>
            <w:r>
              <w:rPr>
                <w:rFonts w:hint="eastAsia" w:hAnsi="宋体" w:cs="宋体"/>
              </w:rPr>
              <w:t>1.3</w:t>
            </w:r>
          </w:p>
        </w:tc>
        <w:tc>
          <w:tcPr>
            <w:tcW w:w="1984" w:type="dxa"/>
            <w:vAlign w:val="center"/>
          </w:tcPr>
          <w:p>
            <w:pPr>
              <w:pStyle w:val="2"/>
              <w:spacing w:before="156" w:beforeLines="50" w:after="156" w:afterLines="50"/>
              <w:jc w:val="left"/>
              <w:rPr>
                <w:rFonts w:hAnsi="宋体"/>
                <w:szCs w:val="21"/>
              </w:rPr>
            </w:pPr>
            <w:r>
              <w:rPr>
                <w:rFonts w:hint="eastAsia" w:hAnsi="宋体" w:cs="宋体"/>
                <w:szCs w:val="22"/>
              </w:rPr>
              <w:t>自然资源和可持续发展</w:t>
            </w:r>
          </w:p>
        </w:tc>
        <w:tc>
          <w:tcPr>
            <w:tcW w:w="3402" w:type="dxa"/>
            <w:vAlign w:val="center"/>
          </w:tcPr>
          <w:p>
            <w:pPr>
              <w:pStyle w:val="2"/>
              <w:spacing w:before="156" w:beforeLines="50" w:after="156" w:afterLines="50"/>
              <w:rPr>
                <w:rFonts w:hAnsi="宋体" w:cs="宋体"/>
                <w:szCs w:val="22"/>
              </w:rPr>
            </w:pPr>
            <w:r>
              <w:rPr>
                <w:rFonts w:hint="eastAsia" w:hAnsi="宋体" w:cs="宋体"/>
                <w:szCs w:val="22"/>
              </w:rPr>
              <w:t>掌握环境可持续性—可持续性商业的利益相关者模式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vAlign w:val="center"/>
          </w:tcPr>
          <w:p>
            <w:pPr>
              <w:pStyle w:val="2"/>
              <w:spacing w:before="156" w:beforeLines="50" w:after="156" w:afterLines="50"/>
              <w:jc w:val="center"/>
              <w:rPr>
                <w:rFonts w:hAnsi="宋体" w:cs="宋体"/>
                <w:szCs w:val="21"/>
              </w:rPr>
            </w:pPr>
          </w:p>
        </w:tc>
        <w:tc>
          <w:tcPr>
            <w:tcW w:w="1276" w:type="dxa"/>
            <w:vAlign w:val="center"/>
          </w:tcPr>
          <w:p>
            <w:pPr>
              <w:pStyle w:val="2"/>
              <w:spacing w:before="156" w:beforeLines="50" w:after="156" w:afterLines="50"/>
              <w:jc w:val="center"/>
              <w:rPr>
                <w:rFonts w:hAnsi="宋体" w:cs="宋体"/>
              </w:rPr>
            </w:pPr>
            <w:r>
              <w:rPr>
                <w:rFonts w:hint="eastAsia" w:hAnsi="宋体" w:cs="宋体"/>
              </w:rPr>
              <w:t>1.</w:t>
            </w:r>
            <w:r>
              <w:rPr>
                <w:rFonts w:hAnsi="宋体" w:cs="宋体"/>
              </w:rPr>
              <w:t>4</w:t>
            </w:r>
          </w:p>
        </w:tc>
        <w:tc>
          <w:tcPr>
            <w:tcW w:w="1984" w:type="dxa"/>
            <w:vAlign w:val="center"/>
          </w:tcPr>
          <w:p>
            <w:pPr>
              <w:pStyle w:val="2"/>
              <w:spacing w:before="156" w:beforeLines="50" w:after="156" w:afterLines="50"/>
              <w:jc w:val="left"/>
              <w:rPr>
                <w:rFonts w:hAnsi="宋体"/>
                <w:szCs w:val="21"/>
              </w:rPr>
            </w:pPr>
            <w:r>
              <w:rPr>
                <w:rFonts w:hAnsi="宋体" w:cs="宋体"/>
                <w:szCs w:val="22"/>
              </w:rPr>
              <w:t>经济与社会经济环境</w:t>
            </w:r>
          </w:p>
        </w:tc>
        <w:tc>
          <w:tcPr>
            <w:tcW w:w="3402" w:type="dxa"/>
            <w:vAlign w:val="center"/>
          </w:tcPr>
          <w:p>
            <w:pPr>
              <w:pStyle w:val="2"/>
              <w:spacing w:before="156" w:beforeLines="50" w:after="156" w:afterLines="50"/>
              <w:rPr>
                <w:rFonts w:hAnsi="宋体" w:cs="宋体"/>
              </w:rPr>
            </w:pPr>
            <w:r>
              <w:rPr>
                <w:rFonts w:hint="eastAsia" w:hAnsi="宋体" w:cs="宋体"/>
                <w:szCs w:val="22"/>
              </w:rPr>
              <w:t>理解社会经济环境分析的维度；掌握联合国人类发展指数的内涵。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vAlign w:val="center"/>
          </w:tcPr>
          <w:p>
            <w:pPr>
              <w:pStyle w:val="2"/>
              <w:spacing w:before="156" w:beforeLines="50" w:after="156" w:afterLines="50"/>
              <w:jc w:val="center"/>
              <w:rPr>
                <w:rFonts w:hAnsi="宋体" w:cs="宋体"/>
                <w:szCs w:val="21"/>
              </w:rPr>
            </w:pPr>
          </w:p>
        </w:tc>
        <w:tc>
          <w:tcPr>
            <w:tcW w:w="1276" w:type="dxa"/>
            <w:vAlign w:val="center"/>
          </w:tcPr>
          <w:p>
            <w:pPr>
              <w:pStyle w:val="2"/>
              <w:spacing w:before="156" w:beforeLines="50" w:after="156" w:afterLines="50"/>
              <w:jc w:val="center"/>
              <w:rPr>
                <w:rFonts w:hAnsi="宋体" w:cs="宋体"/>
              </w:rPr>
            </w:pPr>
            <w:r>
              <w:rPr>
                <w:rFonts w:hint="eastAsia" w:hAnsi="宋体" w:cs="宋体"/>
              </w:rPr>
              <w:t>1.</w:t>
            </w:r>
            <w:r>
              <w:rPr>
                <w:rFonts w:hAnsi="宋体" w:cs="宋体"/>
              </w:rPr>
              <w:t>5</w:t>
            </w:r>
          </w:p>
        </w:tc>
        <w:tc>
          <w:tcPr>
            <w:tcW w:w="1984" w:type="dxa"/>
            <w:vAlign w:val="center"/>
          </w:tcPr>
          <w:p>
            <w:pPr>
              <w:pStyle w:val="2"/>
              <w:spacing w:before="156" w:beforeLines="50" w:after="156" w:afterLines="50"/>
              <w:jc w:val="left"/>
              <w:rPr>
                <w:rFonts w:hAnsi="宋体"/>
                <w:szCs w:val="21"/>
              </w:rPr>
            </w:pPr>
            <w:r>
              <w:rPr>
                <w:rFonts w:hint="eastAsia" w:hAnsi="宋体"/>
                <w:szCs w:val="21"/>
              </w:rPr>
              <w:t>跨国商务环境的评估</w:t>
            </w:r>
          </w:p>
        </w:tc>
        <w:tc>
          <w:tcPr>
            <w:tcW w:w="3402" w:type="dxa"/>
            <w:vAlign w:val="center"/>
          </w:tcPr>
          <w:p>
            <w:pPr>
              <w:pStyle w:val="2"/>
              <w:spacing w:before="156" w:beforeLines="50" w:after="156" w:afterLines="50"/>
              <w:rPr>
                <w:rFonts w:hAnsi="宋体" w:cs="宋体"/>
              </w:rPr>
            </w:pPr>
            <w:r>
              <w:rPr>
                <w:rFonts w:hint="eastAsia" w:hAnsi="宋体" w:cs="宋体"/>
                <w:szCs w:val="22"/>
              </w:rPr>
              <w:t>掌握社会经济指标及跨国商务环境的评估方法。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276" w:type="dxa"/>
            <w:vAlign w:val="center"/>
          </w:tcPr>
          <w:p>
            <w:pPr>
              <w:pStyle w:val="2"/>
              <w:spacing w:before="156" w:beforeLines="50" w:after="156" w:afterLines="50"/>
              <w:jc w:val="center"/>
              <w:rPr>
                <w:rFonts w:hAnsi="宋体" w:cs="宋体"/>
              </w:rPr>
            </w:pPr>
            <w:r>
              <w:rPr>
                <w:rFonts w:hint="eastAsia" w:hAnsi="宋体" w:cs="宋体"/>
              </w:rPr>
              <w:t>2.1</w:t>
            </w:r>
          </w:p>
        </w:tc>
        <w:tc>
          <w:tcPr>
            <w:tcW w:w="1984" w:type="dxa"/>
            <w:vAlign w:val="center"/>
          </w:tcPr>
          <w:p>
            <w:pPr>
              <w:pStyle w:val="2"/>
              <w:spacing w:before="156" w:beforeLines="50" w:after="156" w:afterLines="50"/>
              <w:jc w:val="left"/>
              <w:rPr>
                <w:rFonts w:hAnsi="宋体" w:cs="宋体"/>
              </w:rPr>
            </w:pPr>
            <w:r>
              <w:rPr>
                <w:rFonts w:hint="eastAsia" w:hAnsi="宋体" w:cs="宋体"/>
              </w:rPr>
              <w:t xml:space="preserve"> I</w:t>
            </w:r>
            <w:r>
              <w:rPr>
                <w:rFonts w:hAnsi="宋体" w:cs="宋体"/>
              </w:rPr>
              <w:t>-R</w:t>
            </w:r>
            <w:r>
              <w:rPr>
                <w:rFonts w:hint="eastAsia" w:hAnsi="宋体" w:cs="宋体"/>
              </w:rPr>
              <w:t>框架及I-R框架下的全球战略</w:t>
            </w:r>
          </w:p>
        </w:tc>
        <w:tc>
          <w:tcPr>
            <w:tcW w:w="3402" w:type="dxa"/>
            <w:vAlign w:val="center"/>
          </w:tcPr>
          <w:p>
            <w:pPr>
              <w:spacing w:before="156" w:beforeLines="50" w:after="156" w:afterLines="50"/>
              <w:jc w:val="left"/>
              <w:rPr>
                <w:rFonts w:ascii="宋体" w:hAnsi="宋体" w:eastAsia="宋体" w:cs="宋体"/>
                <w:szCs w:val="20"/>
              </w:rPr>
            </w:pPr>
            <w:r>
              <w:rPr>
                <w:rFonts w:hint="eastAsia" w:ascii="宋体" w:hAnsi="宋体" w:eastAsia="宋体" w:cs="宋体"/>
                <w:szCs w:val="20"/>
              </w:rPr>
              <w:t>掌握企业战略的分析框架；基于I-R框架的全球战略内涵。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846" w:type="dxa"/>
            <w:vMerge w:val="continue"/>
            <w:vAlign w:val="center"/>
          </w:tcPr>
          <w:p>
            <w:pPr>
              <w:pStyle w:val="2"/>
              <w:spacing w:before="156" w:beforeLines="50" w:after="156" w:afterLines="50"/>
              <w:jc w:val="center"/>
              <w:rPr>
                <w:rFonts w:hAnsi="宋体" w:cs="宋体"/>
                <w:szCs w:val="21"/>
              </w:rPr>
            </w:pPr>
          </w:p>
        </w:tc>
        <w:tc>
          <w:tcPr>
            <w:tcW w:w="1276" w:type="dxa"/>
            <w:vAlign w:val="center"/>
          </w:tcPr>
          <w:p>
            <w:pPr>
              <w:pStyle w:val="2"/>
              <w:spacing w:before="156" w:beforeLines="50" w:after="156" w:afterLines="50"/>
              <w:jc w:val="center"/>
              <w:rPr>
                <w:rFonts w:hAnsi="宋体" w:cs="宋体"/>
              </w:rPr>
            </w:pPr>
            <w:r>
              <w:rPr>
                <w:rFonts w:hint="eastAsia" w:hAnsi="宋体" w:cs="宋体"/>
              </w:rPr>
              <w:t>2.2</w:t>
            </w:r>
          </w:p>
        </w:tc>
        <w:tc>
          <w:tcPr>
            <w:tcW w:w="1984" w:type="dxa"/>
            <w:vAlign w:val="center"/>
          </w:tcPr>
          <w:p>
            <w:pPr>
              <w:pStyle w:val="2"/>
              <w:spacing w:before="156" w:beforeLines="50" w:after="156" w:afterLines="50"/>
              <w:rPr>
                <w:rFonts w:hAnsi="宋体" w:cs="宋体"/>
              </w:rPr>
            </w:pPr>
            <w:r>
              <w:rPr>
                <w:rFonts w:hint="eastAsia" w:hAnsi="宋体" w:cs="宋体"/>
              </w:rPr>
              <w:t>企业结构的基本类型及其特征</w:t>
            </w:r>
          </w:p>
        </w:tc>
        <w:tc>
          <w:tcPr>
            <w:tcW w:w="3402" w:type="dxa"/>
            <w:vAlign w:val="center"/>
          </w:tcPr>
          <w:p>
            <w:pPr>
              <w:spacing w:before="156" w:beforeLines="50"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rPr>
              <w:t>掌握国际企业组织的内部、外部选择机制。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vAlign w:val="center"/>
          </w:tcPr>
          <w:p>
            <w:pPr>
              <w:pStyle w:val="2"/>
              <w:spacing w:before="156" w:beforeLines="50" w:after="156" w:afterLines="50"/>
              <w:jc w:val="center"/>
              <w:rPr>
                <w:rFonts w:hAnsi="宋体" w:cs="宋体"/>
                <w:szCs w:val="21"/>
              </w:rPr>
            </w:pPr>
          </w:p>
        </w:tc>
        <w:tc>
          <w:tcPr>
            <w:tcW w:w="1276" w:type="dxa"/>
            <w:vAlign w:val="center"/>
          </w:tcPr>
          <w:p>
            <w:pPr>
              <w:pStyle w:val="2"/>
              <w:spacing w:before="156" w:beforeLines="50" w:after="156" w:afterLines="50"/>
              <w:jc w:val="center"/>
              <w:rPr>
                <w:rFonts w:hAnsi="宋体" w:cs="宋体"/>
              </w:rPr>
            </w:pPr>
            <w:r>
              <w:rPr>
                <w:rFonts w:hint="eastAsia" w:hAnsi="宋体" w:cs="宋体"/>
              </w:rPr>
              <w:t>2</w:t>
            </w:r>
            <w:r>
              <w:rPr>
                <w:rFonts w:hAnsi="宋体" w:cs="宋体"/>
              </w:rPr>
              <w:t>.3</w:t>
            </w:r>
          </w:p>
        </w:tc>
        <w:tc>
          <w:tcPr>
            <w:tcW w:w="1984" w:type="dxa"/>
            <w:vAlign w:val="center"/>
          </w:tcPr>
          <w:p>
            <w:pPr>
              <w:pStyle w:val="2"/>
              <w:spacing w:before="156" w:beforeLines="50" w:after="156" w:afterLines="50"/>
              <w:rPr>
                <w:rFonts w:hAnsi="宋体" w:cs="宋体"/>
              </w:rPr>
            </w:pPr>
            <w:r>
              <w:rPr>
                <w:rFonts w:hint="eastAsia" w:hAnsi="宋体" w:cs="宋体"/>
              </w:rPr>
              <w:t>I-R框架下的组织模型</w:t>
            </w:r>
          </w:p>
        </w:tc>
        <w:tc>
          <w:tcPr>
            <w:tcW w:w="3402" w:type="dxa"/>
            <w:vAlign w:val="center"/>
          </w:tcPr>
          <w:p>
            <w:pPr>
              <w:spacing w:before="156" w:beforeLines="50"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rPr>
              <w:t>掌握I-R</w:t>
            </w:r>
            <w:r>
              <w:rPr>
                <w:rFonts w:ascii="宋体" w:hAnsi="宋体" w:eastAsia="宋体" w:cs="宋体"/>
                <w:color w:val="000000"/>
                <w:kern w:val="0"/>
                <w:szCs w:val="21"/>
              </w:rPr>
              <w:t>框架下的组织模型</w:t>
            </w:r>
            <w:r>
              <w:rPr>
                <w:rFonts w:hint="eastAsia" w:ascii="宋体" w:hAnsi="宋体" w:eastAsia="宋体" w:cs="宋体"/>
                <w:color w:val="000000"/>
                <w:kern w:val="0"/>
                <w:szCs w:val="21"/>
              </w:rPr>
              <w:t>及其演进过程。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276" w:type="dxa"/>
            <w:vAlign w:val="center"/>
          </w:tcPr>
          <w:p>
            <w:pPr>
              <w:pStyle w:val="2"/>
              <w:spacing w:before="156" w:beforeLines="50" w:after="156" w:afterLines="50"/>
              <w:jc w:val="center"/>
              <w:rPr>
                <w:rFonts w:hAnsi="宋体" w:cs="宋体"/>
              </w:rPr>
            </w:pPr>
            <w:r>
              <w:rPr>
                <w:rFonts w:hint="eastAsia" w:hAnsi="宋体" w:cs="宋体"/>
                <w:szCs w:val="21"/>
              </w:rPr>
              <w:t>3.1</w:t>
            </w:r>
          </w:p>
        </w:tc>
        <w:tc>
          <w:tcPr>
            <w:tcW w:w="1984" w:type="dxa"/>
            <w:vAlign w:val="center"/>
          </w:tcPr>
          <w:p>
            <w:pPr>
              <w:pStyle w:val="2"/>
              <w:spacing w:before="156" w:beforeLines="50" w:after="156" w:afterLines="50"/>
              <w:rPr>
                <w:rFonts w:hAnsi="宋体" w:cs="宋体"/>
              </w:rPr>
            </w:pPr>
            <w:r>
              <w:rPr>
                <w:rFonts w:hint="eastAsia" w:hAnsi="宋体" w:cs="宋体"/>
              </w:rPr>
              <w:t>如何筛选目标市场？</w:t>
            </w:r>
          </w:p>
        </w:tc>
        <w:tc>
          <w:tcPr>
            <w:tcW w:w="3402" w:type="dxa"/>
            <w:vAlign w:val="center"/>
          </w:tcPr>
          <w:p>
            <w:pPr>
              <w:spacing w:before="156" w:beforeLines="50" w:after="156" w:afterLines="50"/>
              <w:jc w:val="left"/>
              <w:rPr>
                <w:rFonts w:ascii="宋体" w:hAnsi="宋体" w:eastAsia="宋体" w:cs="宋体"/>
                <w:szCs w:val="20"/>
              </w:rPr>
            </w:pPr>
            <w:r>
              <w:rPr>
                <w:rFonts w:hint="eastAsia" w:ascii="宋体" w:hAnsi="宋体" w:eastAsia="宋体" w:cs="宋体"/>
                <w:szCs w:val="20"/>
              </w:rPr>
              <w:t>掌握企业安排国家渗透顺序的策略；识别企业在决定是否以及在哪里进行海外扩张时应考虑的重大机会与风险因素；了解一些简化的工具以帮助决定在哪里运作。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vAlign w:val="center"/>
          </w:tcPr>
          <w:p>
            <w:pPr>
              <w:pStyle w:val="2"/>
              <w:spacing w:before="156" w:beforeLines="50" w:after="156" w:afterLines="50"/>
              <w:jc w:val="center"/>
              <w:rPr>
                <w:rFonts w:hAnsi="宋体" w:cs="宋体"/>
                <w:szCs w:val="21"/>
              </w:rPr>
            </w:pPr>
          </w:p>
        </w:tc>
        <w:tc>
          <w:tcPr>
            <w:tcW w:w="1276" w:type="dxa"/>
            <w:vAlign w:val="center"/>
          </w:tcPr>
          <w:p>
            <w:pPr>
              <w:pStyle w:val="2"/>
              <w:spacing w:before="156" w:beforeLines="50" w:after="156" w:afterLines="50"/>
              <w:jc w:val="center"/>
              <w:rPr>
                <w:rFonts w:hAnsi="宋体" w:cs="宋体"/>
              </w:rPr>
            </w:pPr>
            <w:r>
              <w:rPr>
                <w:rFonts w:hint="eastAsia" w:hAnsi="宋体" w:cs="宋体"/>
                <w:szCs w:val="21"/>
              </w:rPr>
              <w:t>3.2</w:t>
            </w:r>
          </w:p>
        </w:tc>
        <w:tc>
          <w:tcPr>
            <w:tcW w:w="1984" w:type="dxa"/>
            <w:vAlign w:val="center"/>
          </w:tcPr>
          <w:p>
            <w:pPr>
              <w:pStyle w:val="2"/>
              <w:spacing w:before="156" w:beforeLines="50" w:after="156" w:afterLines="50"/>
              <w:rPr>
                <w:rFonts w:hAnsi="宋体" w:cs="宋体"/>
              </w:rPr>
            </w:pPr>
            <w:r>
              <w:rPr>
                <w:rFonts w:hAnsi="宋体" w:cs="宋体"/>
              </w:rPr>
              <w:t>各种国际市场进入方式的利弊分析</w:t>
            </w:r>
          </w:p>
        </w:tc>
        <w:tc>
          <w:tcPr>
            <w:tcW w:w="3402" w:type="dxa"/>
            <w:vAlign w:val="center"/>
          </w:tcPr>
          <w:p>
            <w:pPr>
              <w:spacing w:before="156" w:beforeLines="50" w:after="156" w:afterLines="50"/>
              <w:rPr>
                <w:rFonts w:ascii="宋体" w:hAnsi="宋体" w:eastAsia="宋体" w:cs="宋体"/>
                <w:szCs w:val="20"/>
              </w:rPr>
            </w:pPr>
            <w:r>
              <w:rPr>
                <w:rFonts w:hint="eastAsia" w:ascii="宋体" w:hAnsi="宋体" w:eastAsia="宋体" w:cs="宋体"/>
                <w:szCs w:val="20"/>
              </w:rPr>
              <w:t>掌握各种进入方式的优缺点及选择进入模式时应考虑的战略因素。</w:t>
            </w:r>
          </w:p>
        </w:tc>
      </w:tr>
    </w:tbl>
    <w:p>
      <w:pPr>
        <w:widowControl/>
        <w:spacing w:before="156" w:beforeLines="50" w:after="156" w:afterLines="50"/>
        <w:ind w:left="562"/>
        <w:jc w:val="left"/>
        <w:rPr>
          <w:rFonts w:ascii="黑体" w:hAnsi="黑体" w:eastAsia="黑体"/>
          <w:sz w:val="28"/>
          <w:szCs w:val="28"/>
        </w:rPr>
      </w:pPr>
      <w:r>
        <w:rPr>
          <w:rFonts w:hint="eastAsia" w:ascii="黑体" w:hAnsi="黑体" w:eastAsia="黑体"/>
          <w:sz w:val="28"/>
          <w:szCs w:val="28"/>
        </w:rPr>
        <w:t>三、教学内容</w:t>
      </w:r>
    </w:p>
    <w:p>
      <w:pPr>
        <w:pStyle w:val="16"/>
        <w:rPr>
          <w:rFonts w:ascii="黑体" w:hAnsi="黑体" w:eastAsia="黑体"/>
          <w:b w:val="0"/>
          <w:bCs/>
        </w:rPr>
      </w:pPr>
      <w:r>
        <w:rPr>
          <w:rFonts w:hint="eastAsia" w:ascii="黑体" w:hAnsi="黑体" w:eastAsia="黑体"/>
        </w:rPr>
        <w:t xml:space="preserve"> </w:t>
      </w:r>
      <w:r>
        <w:rPr>
          <w:rFonts w:ascii="黑体" w:hAnsi="黑体" w:eastAsia="黑体"/>
        </w:rPr>
        <w:t xml:space="preserve"> </w:t>
      </w:r>
      <w:r>
        <w:rPr>
          <w:rFonts w:hint="eastAsia" w:ascii="黑体" w:hAnsi="黑体" w:eastAsia="黑体"/>
          <w:b w:val="0"/>
        </w:rPr>
        <w:t xml:space="preserve"> 第一章  </w:t>
      </w:r>
      <w:r>
        <w:rPr>
          <w:rFonts w:hint="eastAsia" w:ascii="黑体" w:hAnsi="黑体" w:eastAsia="黑体"/>
          <w:b w:val="0"/>
          <w:bCs/>
        </w:rPr>
        <w:t>绪论</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教学目标：（1）掌握全球化和国际商务的关系；（2）国际商务和国内商务的区别；（3）经营国际化和企业国际化的区别。</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 （1）国际商务需要遵循的规则；（2）经营国际化不等于企业国际化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w:t>
      </w:r>
      <w:r>
        <w:rPr>
          <w:rFonts w:hint="eastAsia" w:ascii="宋体" w:hAnsi="宋体" w:eastAsia="宋体" w:cs="TimesNewRomanPSMT"/>
          <w:color w:val="000000"/>
          <w:kern w:val="0"/>
          <w:szCs w:val="21"/>
        </w:rPr>
        <w:t>教学内容：（1）全球化与国际商务；（2）国际商务和国内商务的区别；（3）企业从事国际化商务活动的动机；（4）企业商务活动国际化的过程；（5）国际商务的研究对象。</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 练习、案例分析。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5.</w:t>
      </w:r>
      <w:r>
        <w:rPr>
          <w:rFonts w:hint="eastAsia" w:ascii="宋体" w:hAnsi="宋体" w:eastAsia="宋体" w:cs="宋体"/>
          <w:color w:val="000000"/>
          <w:kern w:val="0"/>
          <w:szCs w:val="21"/>
        </w:rPr>
        <w:t xml:space="preserve">教学评价：理解全球化给各国带来的机遇与挑战。 </w:t>
      </w:r>
    </w:p>
    <w:p>
      <w:pPr>
        <w:pStyle w:val="16"/>
        <w:ind w:firstLine="480" w:firstLineChars="200"/>
        <w:rPr>
          <w:rFonts w:ascii="黑体" w:hAnsi="黑体" w:eastAsia="黑体"/>
          <w:b w:val="0"/>
        </w:rPr>
      </w:pPr>
      <w:r>
        <w:rPr>
          <w:rFonts w:hint="eastAsia" w:ascii="黑体" w:hAnsi="黑体" w:eastAsia="黑体"/>
          <w:b w:val="0"/>
        </w:rPr>
        <w:t>第二章  国际商务环境</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ascii="宋体" w:hAnsi="宋体" w:eastAsia="宋体" w:cs="宋体"/>
          <w:color w:val="000000"/>
          <w:kern w:val="0"/>
          <w:szCs w:val="21"/>
        </w:rPr>
        <w:t>1</w:t>
      </w:r>
      <w:r>
        <w:rPr>
          <w:rFonts w:hint="eastAsia" w:ascii="宋体" w:hAnsi="宋体" w:eastAsia="宋体" w:cs="宋体"/>
          <w:color w:val="000000"/>
          <w:kern w:val="0"/>
          <w:szCs w:val="21"/>
        </w:rPr>
        <w:t>）文化差异对国际商务的影响；（2）政治风险的规避；（3）法律风险及其规避；（3）自然资源对国际商务的影响及可持续发展的重要性；（4）经济与社会环境对国际商务的影响；（5）跨国商务环境的评估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教学重难点：（1）文化差异的研究方法；（2）跨文化管理的思路；（</w:t>
      </w:r>
      <w:r>
        <w:rPr>
          <w:rFonts w:ascii="宋体" w:hAnsi="宋体" w:eastAsia="宋体" w:cs="宋体"/>
          <w:color w:val="000000"/>
          <w:kern w:val="0"/>
          <w:szCs w:val="21"/>
        </w:rPr>
        <w:t>3</w:t>
      </w:r>
      <w:r>
        <w:rPr>
          <w:rFonts w:hint="eastAsia" w:ascii="宋体" w:hAnsi="宋体" w:eastAsia="宋体" w:cs="宋体"/>
          <w:color w:val="000000"/>
          <w:kern w:val="0"/>
          <w:szCs w:val="21"/>
        </w:rPr>
        <w:t>）法律及其企业合规的重要性；（</w:t>
      </w:r>
      <w:r>
        <w:rPr>
          <w:rFonts w:ascii="宋体" w:hAnsi="宋体" w:eastAsia="宋体" w:cs="宋体"/>
          <w:color w:val="000000"/>
          <w:kern w:val="0"/>
          <w:szCs w:val="21"/>
        </w:rPr>
        <w:t>4</w:t>
      </w:r>
      <w:r>
        <w:rPr>
          <w:rFonts w:hint="eastAsia" w:ascii="宋体" w:hAnsi="宋体" w:eastAsia="宋体" w:cs="宋体"/>
          <w:color w:val="000000"/>
          <w:kern w:val="0"/>
          <w:szCs w:val="21"/>
        </w:rPr>
        <w:t>）经济和社会环境对目标市场选择的影响。</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w:t>
      </w:r>
      <w:r>
        <w:rPr>
          <w:rFonts w:hint="eastAsia" w:ascii="宋体" w:hAnsi="宋体" w:eastAsia="宋体" w:cs="TimesNewRomanPSMT"/>
          <w:color w:val="000000"/>
          <w:kern w:val="0"/>
          <w:szCs w:val="21"/>
        </w:rPr>
        <w:t>教学内容：（1）社会文化环境；（2）政治与法律环境；（3）自然资源和可持续发展；（4）</w:t>
      </w:r>
      <w:r>
        <w:rPr>
          <w:rFonts w:ascii="宋体" w:hAnsi="宋体" w:eastAsia="宋体" w:cs="TimesNewRomanPSMT"/>
          <w:color w:val="000000"/>
          <w:kern w:val="0"/>
          <w:szCs w:val="21"/>
        </w:rPr>
        <w:t>经济与社会经济环境</w:t>
      </w:r>
      <w:r>
        <w:rPr>
          <w:rFonts w:hint="eastAsia" w:ascii="宋体" w:hAnsi="宋体" w:eastAsia="宋体" w:cs="TimesNewRomanPSMT"/>
          <w:color w:val="000000"/>
          <w:kern w:val="0"/>
          <w:szCs w:val="21"/>
        </w:rPr>
        <w:t>；（5）跨国商务环境的评估 。</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教学方法：讲授、讨论、案例讨论。</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5.</w:t>
      </w:r>
      <w:r>
        <w:rPr>
          <w:rFonts w:hint="eastAsia" w:ascii="宋体" w:hAnsi="宋体" w:eastAsia="宋体" w:cs="宋体"/>
          <w:color w:val="000000"/>
          <w:kern w:val="0"/>
          <w:szCs w:val="21"/>
        </w:rPr>
        <w:t>教学评价：（1）掌握世界主要国家的文化：（2）理解知识产权保护的重要性、企业社会责任及进行管理决策时的道德尺度；（3）掌握政治危险因素及管理条件；（4）利用跨国商务环境的评估方法对留学生母国的国际商务环境进行评价。</w:t>
      </w:r>
    </w:p>
    <w:p>
      <w:pPr>
        <w:pStyle w:val="15"/>
        <w:spacing w:line="360" w:lineRule="auto"/>
        <w:ind w:left="720"/>
        <w:jc w:val="both"/>
        <w:rPr>
          <w:rFonts w:ascii="黑体" w:hAnsi="黑体" w:eastAsia="黑体"/>
          <w:b w:val="0"/>
          <w:color w:val="000000"/>
          <w:szCs w:val="24"/>
        </w:rPr>
      </w:pPr>
      <w:r>
        <w:rPr>
          <w:rFonts w:hint="eastAsia" w:ascii="黑体" w:hAnsi="黑体" w:eastAsia="黑体"/>
          <w:b w:val="0"/>
          <w:szCs w:val="24"/>
        </w:rPr>
        <w:t xml:space="preserve">第三章 </w:t>
      </w:r>
      <w:r>
        <w:rPr>
          <w:rFonts w:hint="eastAsia" w:ascii="黑体" w:hAnsi="黑体" w:eastAsia="黑体"/>
          <w:b w:val="0"/>
          <w:color w:val="000000"/>
          <w:szCs w:val="24"/>
        </w:rPr>
        <w:t>国际商务战略</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ascii="宋体" w:hAnsi="宋体" w:eastAsia="宋体" w:cs="宋体"/>
          <w:color w:val="000000"/>
          <w:kern w:val="0"/>
          <w:szCs w:val="21"/>
        </w:rPr>
        <w:t>1</w:t>
      </w:r>
      <w:r>
        <w:rPr>
          <w:rFonts w:hint="eastAsia" w:ascii="宋体" w:hAnsi="宋体" w:eastAsia="宋体" w:cs="宋体"/>
          <w:color w:val="000000"/>
          <w:kern w:val="0"/>
          <w:szCs w:val="21"/>
        </w:rPr>
        <w:t>）理解价值创造的概念和内涵；（2）掌握企业战略的分析框架；（3）掌握基于I</w:t>
      </w:r>
      <w:r>
        <w:rPr>
          <w:rFonts w:ascii="宋体" w:hAnsi="宋体" w:eastAsia="宋体" w:cs="宋体"/>
          <w:color w:val="000000"/>
          <w:kern w:val="0"/>
          <w:szCs w:val="21"/>
        </w:rPr>
        <w:t xml:space="preserve">-R </w:t>
      </w:r>
      <w:r>
        <w:rPr>
          <w:rFonts w:hint="eastAsia" w:ascii="宋体" w:hAnsi="宋体" w:eastAsia="宋体" w:cs="宋体"/>
          <w:color w:val="000000"/>
          <w:kern w:val="0"/>
          <w:szCs w:val="21"/>
        </w:rPr>
        <w:t>框架的全球战略。</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 价值链；（2）企业战略的分析框架；（3）国际战略的主要类型及其特点。</w:t>
      </w:r>
    </w:p>
    <w:p>
      <w:pPr>
        <w:pStyle w:val="15"/>
        <w:spacing w:line="360" w:lineRule="auto"/>
        <w:ind w:firstLine="420" w:firstLineChars="200"/>
        <w:jc w:val="both"/>
        <w:rPr>
          <w:rFonts w:ascii="宋体" w:hAnsi="宋体" w:eastAsia="宋体" w:cs="宋体"/>
          <w:b w:val="0"/>
          <w:snapToGrid/>
          <w:color w:val="000000"/>
          <w:sz w:val="21"/>
          <w:szCs w:val="21"/>
        </w:rPr>
      </w:pPr>
      <w:r>
        <w:rPr>
          <w:rFonts w:ascii="宋体" w:hAnsi="宋体" w:eastAsia="宋体" w:cs="宋体"/>
          <w:b w:val="0"/>
          <w:snapToGrid/>
          <w:color w:val="000000"/>
          <w:sz w:val="21"/>
          <w:szCs w:val="21"/>
        </w:rPr>
        <w:t>3.</w:t>
      </w:r>
      <w:r>
        <w:rPr>
          <w:rFonts w:hint="eastAsia" w:ascii="宋体" w:hAnsi="宋体" w:eastAsia="宋体" w:cs="宋体"/>
          <w:b w:val="0"/>
          <w:snapToGrid/>
          <w:color w:val="000000"/>
          <w:sz w:val="21"/>
          <w:szCs w:val="21"/>
        </w:rPr>
        <w:t>教学内容：（1） 价值创造；（2）价值链和国际竞争 ；（3）企业战略的分析框架 ；（4）全球整合与地区回应；（5）国际战略的主要类型。</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 举例。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 运用企业战略的分析框架对留学生母国某企业或某行业进行战略分析。</w:t>
      </w:r>
    </w:p>
    <w:p>
      <w:pPr>
        <w:widowControl/>
        <w:spacing w:before="156" w:beforeLines="50" w:after="156" w:afterLines="50"/>
        <w:ind w:firstLine="480" w:firstLineChars="200"/>
        <w:jc w:val="left"/>
        <w:rPr>
          <w:rFonts w:ascii="黑体" w:hAnsi="黑体" w:eastAsia="黑体" w:cs="Times New Roman"/>
          <w:sz w:val="24"/>
          <w:szCs w:val="24"/>
        </w:rPr>
      </w:pPr>
      <w:r>
        <w:rPr>
          <w:rFonts w:hint="eastAsia" w:ascii="黑体" w:hAnsi="黑体" w:eastAsia="黑体" w:cs="Times New Roman"/>
          <w:sz w:val="24"/>
          <w:szCs w:val="24"/>
        </w:rPr>
        <w:t xml:space="preserve">第四章  </w:t>
      </w:r>
      <w:r>
        <w:rPr>
          <w:rFonts w:ascii="黑体" w:hAnsi="黑体" w:eastAsia="黑体" w:cs="Times New Roman"/>
          <w:sz w:val="24"/>
          <w:szCs w:val="24"/>
        </w:rPr>
        <w:t>国际商务组织</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ascii="宋体" w:hAnsi="宋体" w:eastAsia="宋体" w:cs="宋体"/>
          <w:color w:val="000000"/>
          <w:kern w:val="0"/>
          <w:szCs w:val="21"/>
        </w:rPr>
        <w:t>1</w:t>
      </w:r>
      <w:r>
        <w:rPr>
          <w:rFonts w:hint="eastAsia" w:ascii="宋体" w:hAnsi="宋体" w:eastAsia="宋体" w:cs="宋体"/>
          <w:color w:val="000000"/>
          <w:kern w:val="0"/>
          <w:szCs w:val="21"/>
        </w:rPr>
        <w:t>）理解企业组织架构的基本要素；（</w:t>
      </w:r>
      <w:r>
        <w:rPr>
          <w:rFonts w:ascii="宋体" w:hAnsi="宋体" w:eastAsia="宋体" w:cs="宋体"/>
          <w:color w:val="000000"/>
          <w:kern w:val="0"/>
          <w:szCs w:val="21"/>
        </w:rPr>
        <w:t>2</w:t>
      </w:r>
      <w:r>
        <w:rPr>
          <w:rFonts w:hint="eastAsia" w:ascii="宋体" w:hAnsi="宋体" w:eastAsia="宋体" w:cs="宋体"/>
          <w:color w:val="000000"/>
          <w:kern w:val="0"/>
          <w:szCs w:val="21"/>
        </w:rPr>
        <w:t>）熟悉企业结构的基本类型及其特点 ；（</w:t>
      </w:r>
      <w:r>
        <w:rPr>
          <w:rFonts w:ascii="宋体" w:hAnsi="宋体" w:eastAsia="宋体" w:cs="宋体"/>
          <w:color w:val="000000"/>
          <w:kern w:val="0"/>
          <w:szCs w:val="21"/>
        </w:rPr>
        <w:t>3</w:t>
      </w:r>
      <w:r>
        <w:rPr>
          <w:rFonts w:hint="eastAsia" w:ascii="宋体" w:hAnsi="宋体" w:eastAsia="宋体" w:cs="宋体"/>
          <w:color w:val="000000"/>
          <w:kern w:val="0"/>
          <w:szCs w:val="21"/>
        </w:rPr>
        <w:t>）掌握组织结构内部选择机制涉及的基本结构和阶段模型；（</w:t>
      </w:r>
      <w:r>
        <w:rPr>
          <w:rFonts w:ascii="宋体" w:hAnsi="宋体" w:eastAsia="宋体" w:cs="宋体"/>
          <w:color w:val="000000"/>
          <w:kern w:val="0"/>
          <w:szCs w:val="21"/>
        </w:rPr>
        <w:t>4</w:t>
      </w:r>
      <w:r>
        <w:rPr>
          <w:rFonts w:hint="eastAsia" w:ascii="宋体" w:hAnsi="宋体" w:eastAsia="宋体" w:cs="宋体"/>
          <w:color w:val="000000"/>
          <w:kern w:val="0"/>
          <w:szCs w:val="21"/>
        </w:rPr>
        <w:t>）掌握外部选择机制的基本逻辑和I—R框架下的组织模型 。</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 组织结构；（2）协调系统；（3）控制系统；（4）I—R框架下的组织模型。</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教学内容：（1）组织架构与国际企业；（2）国际企业组织的内部选择机制；（3）国际企业组织的外部选择机制。</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教学方法：讲授、讨论、举例。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教学评价：（1）</w:t>
      </w:r>
      <w:r>
        <w:rPr>
          <w:rFonts w:hint="eastAsia" w:ascii="Times New Roman" w:hAnsi="Times New Roman" w:eastAsia="宋体"/>
          <w:color w:val="000000" w:themeColor="text1"/>
          <w:szCs w:val="24"/>
          <w14:textFill>
            <w14:solidFill>
              <w14:schemeClr w14:val="tx1"/>
            </w14:solidFill>
          </w14:textFill>
        </w:rPr>
        <w:t>理解跨国公司的组织结构和母公司对子公司的控制问题；（2）为什么公司做大后，要靠组织文化进行控制，以及如何助推本国企业的社会责任与绿色可持续发展。</w:t>
      </w:r>
    </w:p>
    <w:p>
      <w:pPr>
        <w:widowControl/>
        <w:spacing w:before="156" w:beforeLines="50" w:after="156" w:afterLines="50"/>
        <w:ind w:firstLine="480" w:firstLineChars="200"/>
        <w:jc w:val="left"/>
        <w:rPr>
          <w:rFonts w:ascii="黑体" w:hAnsi="黑体" w:eastAsia="黑体" w:cs="TimesNewRomanPSMT"/>
          <w:color w:val="000000"/>
          <w:kern w:val="0"/>
          <w:sz w:val="20"/>
          <w:szCs w:val="20"/>
        </w:rPr>
      </w:pPr>
      <w:r>
        <w:rPr>
          <w:rFonts w:hint="eastAsia" w:ascii="黑体" w:hAnsi="黑体" w:eastAsia="黑体" w:cs="Times New Roman"/>
          <w:sz w:val="24"/>
          <w:szCs w:val="24"/>
        </w:rPr>
        <w:t xml:space="preserve">第五章 </w:t>
      </w:r>
      <w:r>
        <w:rPr>
          <w:rFonts w:ascii="黑体" w:hAnsi="黑体" w:eastAsia="黑体" w:cs="Times New Roman"/>
          <w:color w:val="000000"/>
          <w:kern w:val="0"/>
          <w:sz w:val="24"/>
          <w:szCs w:val="24"/>
        </w:rPr>
        <w:t>国家评估与选择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w:t>
      </w:r>
      <w:r>
        <w:rPr>
          <w:rFonts w:hint="eastAsia" w:ascii="宋体" w:hAnsi="宋体" w:eastAsia="宋体" w:cs="TimesNewRomanPSMT"/>
          <w:color w:val="000000"/>
          <w:kern w:val="0"/>
          <w:szCs w:val="21"/>
        </w:rPr>
        <w:t>）国际商情调研数据的来源；（</w:t>
      </w:r>
      <w:r>
        <w:rPr>
          <w:rFonts w:ascii="宋体" w:hAnsi="宋体" w:eastAsia="宋体" w:cs="TimesNewRomanPSMT"/>
          <w:color w:val="000000"/>
          <w:kern w:val="0"/>
          <w:szCs w:val="21"/>
        </w:rPr>
        <w:t>2</w:t>
      </w:r>
      <w:r>
        <w:rPr>
          <w:rFonts w:hint="eastAsia" w:ascii="宋体" w:hAnsi="宋体" w:eastAsia="宋体" w:cs="TimesNewRomanPSMT"/>
          <w:color w:val="000000"/>
          <w:kern w:val="0"/>
          <w:szCs w:val="21"/>
        </w:rPr>
        <w:t>）目标市场选择需要考虑的因素；（</w:t>
      </w:r>
      <w:r>
        <w:rPr>
          <w:rFonts w:ascii="宋体" w:hAnsi="宋体" w:eastAsia="宋体" w:cs="TimesNewRomanPSMT"/>
          <w:color w:val="000000"/>
          <w:kern w:val="0"/>
          <w:szCs w:val="21"/>
        </w:rPr>
        <w:t>3</w:t>
      </w:r>
      <w:r>
        <w:rPr>
          <w:rFonts w:hint="eastAsia" w:ascii="宋体" w:hAnsi="宋体" w:eastAsia="宋体" w:cs="TimesNewRomanPSMT"/>
          <w:color w:val="000000"/>
          <w:kern w:val="0"/>
          <w:szCs w:val="21"/>
        </w:rPr>
        <w:t>）选择目标市场的方法。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教学重难点：（1）国际调研数据的可靠性和可比性；（2）目标市场的选择方法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w:t>
      </w:r>
      <w:r>
        <w:rPr>
          <w:rFonts w:hint="eastAsia" w:ascii="宋体" w:hAnsi="宋体" w:eastAsia="宋体" w:cs="TimesNewRomanPSMT"/>
          <w:color w:val="000000"/>
          <w:kern w:val="0"/>
          <w:szCs w:val="21"/>
        </w:rPr>
        <w:t>教学内容：（1）国际商情调研的特殊性；（2）数据从哪里来？ （3）如何筛选目标市场？（4）估算目标市场需求的一些简易方法；（5）新产品跨国普及的地理规律。</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教学方法：讲授、讨论、练习。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教学评价：（1）掌握企业安排国家渗透顺序的策略；（2）识别企业在决定是否以及在哪里进行海外扩张时应考虑的重大机会与风险因素；（3）了解一些简化的工具以帮助决定在哪里运作。</w:t>
      </w:r>
    </w:p>
    <w:p>
      <w:pPr>
        <w:pStyle w:val="15"/>
        <w:spacing w:line="360" w:lineRule="auto"/>
        <w:ind w:left="720"/>
        <w:jc w:val="both"/>
        <w:rPr>
          <w:rFonts w:ascii="黑体" w:hAnsi="黑体" w:eastAsia="黑体"/>
          <w:b w:val="0"/>
          <w:snapToGrid/>
          <w:color w:val="000000" w:themeColor="text1"/>
          <w:szCs w:val="24"/>
          <w14:textFill>
            <w14:solidFill>
              <w14:schemeClr w14:val="tx1"/>
            </w14:solidFill>
          </w14:textFill>
        </w:rPr>
      </w:pPr>
      <w:r>
        <w:rPr>
          <w:rFonts w:hint="eastAsia" w:ascii="黑体" w:hAnsi="黑体" w:eastAsia="黑体"/>
          <w:b w:val="0"/>
          <w:szCs w:val="24"/>
        </w:rPr>
        <w:t xml:space="preserve">第六章  </w:t>
      </w:r>
      <w:r>
        <w:rPr>
          <w:rFonts w:ascii="黑体" w:hAnsi="黑体" w:eastAsia="黑体"/>
          <w:b w:val="0"/>
          <w:snapToGrid/>
          <w:color w:val="000000" w:themeColor="text1"/>
          <w:szCs w:val="24"/>
          <w14:textFill>
            <w14:solidFill>
              <w14:schemeClr w14:val="tx1"/>
            </w14:solidFill>
          </w14:textFill>
        </w:rPr>
        <w:t>国际市场进入方式</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w:t>
      </w:r>
      <w:r>
        <w:rPr>
          <w:rFonts w:hint="eastAsia" w:ascii="宋体" w:hAnsi="宋体" w:eastAsia="宋体" w:cs="TimesNewRomanPSMT"/>
          <w:color w:val="000000"/>
          <w:kern w:val="0"/>
          <w:szCs w:val="21"/>
        </w:rPr>
        <w:t>）</w:t>
      </w:r>
      <w:r>
        <w:rPr>
          <w:rFonts w:hint="eastAsia" w:ascii="Times New Roman" w:hAnsi="Times New Roman" w:eastAsia="宋体"/>
          <w:color w:val="000000" w:themeColor="text1"/>
          <w:szCs w:val="24"/>
          <w14:textFill>
            <w14:solidFill>
              <w14:schemeClr w14:val="tx1"/>
            </w14:solidFill>
          </w14:textFill>
        </w:rPr>
        <w:t>非股权的进入模式的类型及其特点</w:t>
      </w: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w:t>
      </w:r>
      <w:r>
        <w:rPr>
          <w:rFonts w:hint="eastAsia" w:ascii="宋体" w:hAnsi="宋体" w:eastAsia="宋体" w:cs="TimesNewRomanPSMT"/>
          <w:color w:val="000000"/>
          <w:kern w:val="0"/>
          <w:szCs w:val="21"/>
        </w:rPr>
        <w:t>）</w:t>
      </w:r>
      <w:r>
        <w:rPr>
          <w:rFonts w:hint="eastAsia" w:ascii="Times New Roman" w:hAnsi="Times New Roman" w:eastAsia="宋体"/>
          <w:color w:val="000000" w:themeColor="text1"/>
          <w:szCs w:val="24"/>
          <w14:textFill>
            <w14:solidFill>
              <w14:schemeClr w14:val="tx1"/>
            </w14:solidFill>
          </w14:textFill>
        </w:rPr>
        <w:t>基于股权的进入模式的类型及其特点</w:t>
      </w:r>
      <w:r>
        <w:rPr>
          <w:rFonts w:hint="eastAsia" w:ascii="宋体" w:hAnsi="宋体" w:eastAsia="宋体" w:cs="TimesNewRomanPSMT"/>
          <w:color w:val="000000"/>
          <w:kern w:val="0"/>
          <w:szCs w:val="21"/>
        </w:rPr>
        <w:t xml:space="preserve"> 。</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w:t>
      </w:r>
      <w:r>
        <w:rPr>
          <w:rFonts w:hint="eastAsia" w:ascii="Times New Roman" w:hAnsi="Times New Roman" w:eastAsia="宋体"/>
          <w:color w:val="000000" w:themeColor="text1"/>
          <w:szCs w:val="24"/>
          <w14:textFill>
            <w14:solidFill>
              <w14:schemeClr w14:val="tx1"/>
            </w14:solidFill>
          </w14:textFill>
        </w:rPr>
        <w:t>各种进入方式的优缺点</w:t>
      </w:r>
      <w:r>
        <w:rPr>
          <w:rFonts w:hint="eastAsia" w:ascii="宋体" w:hAnsi="宋体" w:eastAsia="宋体" w:cs="宋体"/>
          <w:color w:val="000000"/>
          <w:kern w:val="0"/>
          <w:szCs w:val="21"/>
        </w:rPr>
        <w:t>；（2）</w:t>
      </w:r>
      <w:r>
        <w:rPr>
          <w:rFonts w:hint="eastAsia" w:ascii="Times New Roman" w:hAnsi="Times New Roman" w:eastAsia="宋体"/>
          <w:color w:val="000000" w:themeColor="text1"/>
          <w:szCs w:val="24"/>
          <w14:textFill>
            <w14:solidFill>
              <w14:schemeClr w14:val="tx1"/>
            </w14:solidFill>
          </w14:textFill>
        </w:rPr>
        <w:t>选择进入模式时应考虑的战略因素</w:t>
      </w:r>
      <w:r>
        <w:rPr>
          <w:rFonts w:hint="eastAsia"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教学内容：（1）出口模式 ；（2）许可证贸易 ；（3）特许经营 ；（4）其他非股权模式 ；（5） 独资企业；（6）合资企业；（7）战略联盟；（8）财团。</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教学方法：讲授、讨论、案例分析。</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教学评价：查阅相关资料，讨论留学生母国对外国投资和贸易有哪些限制？</w:t>
      </w:r>
      <w:r>
        <w:rPr>
          <w:rFonts w:ascii="宋体" w:hAnsi="宋体" w:eastAsia="宋体" w:cs="TimesNewRomanPSMT"/>
          <w:color w:val="000000"/>
          <w:kern w:val="0"/>
          <w:szCs w:val="21"/>
        </w:rPr>
        <w:t xml:space="preserve"> </w:t>
      </w:r>
    </w:p>
    <w:p>
      <w:pPr>
        <w:widowControl/>
        <w:spacing w:before="156" w:beforeLines="50" w:after="156" w:afterLines="50"/>
        <w:ind w:firstLine="480" w:firstLineChars="200"/>
        <w:jc w:val="left"/>
        <w:rPr>
          <w:rFonts w:ascii="黑体" w:hAnsi="黑体" w:eastAsia="黑体" w:cs="TimesNewRomanPSMT"/>
          <w:color w:val="000000"/>
          <w:kern w:val="0"/>
          <w:sz w:val="20"/>
          <w:szCs w:val="20"/>
        </w:rPr>
      </w:pPr>
      <w:r>
        <w:rPr>
          <w:rFonts w:hint="eastAsia" w:ascii="黑体" w:hAnsi="黑体" w:eastAsia="黑体" w:cs="Times New Roman"/>
          <w:sz w:val="24"/>
          <w:szCs w:val="24"/>
        </w:rPr>
        <w:t xml:space="preserve">第七章  </w:t>
      </w:r>
      <w:r>
        <w:rPr>
          <w:rFonts w:ascii="黑体" w:hAnsi="黑体" w:eastAsia="黑体" w:cs="Times New Roman"/>
          <w:color w:val="000000"/>
          <w:kern w:val="0"/>
          <w:sz w:val="24"/>
          <w:szCs w:val="24"/>
        </w:rPr>
        <w:t>全球</w:t>
      </w:r>
      <w:r>
        <w:rPr>
          <w:rFonts w:hint="eastAsia" w:ascii="黑体" w:hAnsi="黑体" w:eastAsia="黑体" w:cs="Times New Roman"/>
          <w:color w:val="000000"/>
          <w:kern w:val="0"/>
          <w:sz w:val="24"/>
          <w:szCs w:val="24"/>
        </w:rPr>
        <w:t>运营和供应链</w:t>
      </w:r>
      <w:r>
        <w:rPr>
          <w:rFonts w:ascii="黑体" w:hAnsi="黑体" w:eastAsia="黑体" w:cs="Times New Roman"/>
          <w:color w:val="000000"/>
          <w:kern w:val="0"/>
          <w:sz w:val="24"/>
          <w:szCs w:val="24"/>
        </w:rPr>
        <w:t>管理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w:t>
      </w:r>
      <w:r>
        <w:rPr>
          <w:rFonts w:hint="eastAsia" w:ascii="宋体" w:hAnsi="宋体" w:eastAsia="宋体" w:cs="TimesNewRomanPSMT"/>
          <w:color w:val="000000"/>
          <w:kern w:val="0"/>
          <w:szCs w:val="21"/>
        </w:rPr>
        <w:t>）掌握</w:t>
      </w:r>
      <w:r>
        <w:rPr>
          <w:rFonts w:hint="eastAsia" w:ascii="宋体" w:hAnsi="宋体" w:eastAsia="宋体" w:cs="Times New Roman"/>
          <w:color w:val="000000"/>
          <w:kern w:val="0"/>
          <w:szCs w:val="21"/>
        </w:rPr>
        <w:t>供应链管理的内涵</w:t>
      </w:r>
      <w:r>
        <w:rPr>
          <w:rFonts w:hint="eastAsia" w:ascii="宋体" w:hAnsi="宋体" w:eastAsia="宋体" w:cs="TimesNewRomanPSMT"/>
          <w:color w:val="000000"/>
          <w:kern w:val="0"/>
          <w:szCs w:val="21"/>
        </w:rPr>
        <w:t xml:space="preserve"> ；（</w:t>
      </w:r>
      <w:r>
        <w:rPr>
          <w:rFonts w:ascii="宋体" w:hAnsi="宋体" w:eastAsia="宋体" w:cs="TimesNewRomanPSMT"/>
          <w:color w:val="000000"/>
          <w:kern w:val="0"/>
          <w:szCs w:val="21"/>
        </w:rPr>
        <w:t>2</w:t>
      </w:r>
      <w:r>
        <w:rPr>
          <w:rFonts w:hint="eastAsia" w:ascii="宋体" w:hAnsi="宋体" w:eastAsia="宋体" w:cs="TimesNewRomanPSMT"/>
          <w:color w:val="000000"/>
          <w:kern w:val="0"/>
          <w:szCs w:val="21"/>
        </w:rPr>
        <w:t>）掌握</w:t>
      </w:r>
      <w:r>
        <w:rPr>
          <w:rFonts w:hint="eastAsia" w:ascii="宋体" w:hAnsi="宋体" w:eastAsia="宋体"/>
          <w:color w:val="000000" w:themeColor="text1"/>
          <w:szCs w:val="21"/>
          <w14:textFill>
            <w14:solidFill>
              <w14:schemeClr w14:val="tx1"/>
            </w14:solidFill>
          </w14:textFill>
        </w:rPr>
        <w:t>全球生产决策考虑的因素</w:t>
      </w:r>
      <w:r>
        <w:rPr>
          <w:rFonts w:hint="eastAsia" w:ascii="宋体" w:hAnsi="宋体" w:eastAsia="宋体" w:cs="TimesNewRomanPSMT"/>
          <w:color w:val="000000"/>
          <w:kern w:val="0"/>
          <w:szCs w:val="21"/>
        </w:rPr>
        <w:t xml:space="preserve"> ；（</w:t>
      </w:r>
      <w:r>
        <w:rPr>
          <w:rFonts w:ascii="宋体" w:hAnsi="宋体" w:eastAsia="宋体" w:cs="TimesNewRomanPSMT"/>
          <w:color w:val="000000"/>
          <w:kern w:val="0"/>
          <w:szCs w:val="21"/>
        </w:rPr>
        <w:t>3</w:t>
      </w:r>
      <w:r>
        <w:rPr>
          <w:rFonts w:hint="eastAsia" w:ascii="宋体" w:hAnsi="宋体" w:eastAsia="宋体" w:cs="TimesNewRomanPSMT"/>
          <w:color w:val="000000"/>
          <w:kern w:val="0"/>
          <w:szCs w:val="21"/>
        </w:rPr>
        <w:t>）企业</w:t>
      </w:r>
      <w:r>
        <w:rPr>
          <w:rFonts w:hint="eastAsia" w:ascii="宋体" w:hAnsi="宋体" w:eastAsia="宋体"/>
          <w:color w:val="000000" w:themeColor="text1"/>
          <w:szCs w:val="21"/>
          <w14:textFill>
            <w14:solidFill>
              <w14:schemeClr w14:val="tx1"/>
            </w14:solidFill>
          </w14:textFill>
        </w:rPr>
        <w:t>自制和外购决策考虑的因素</w:t>
      </w:r>
      <w:r>
        <w:rPr>
          <w:rFonts w:hint="eastAsia" w:ascii="宋体" w:hAnsi="宋体" w:eastAsia="宋体" w:cs="TimesNewRomanPSMT"/>
          <w:color w:val="000000"/>
          <w:kern w:val="0"/>
          <w:szCs w:val="21"/>
        </w:rPr>
        <w:t xml:space="preserve"> ；（</w:t>
      </w:r>
      <w:r>
        <w:rPr>
          <w:rFonts w:ascii="宋体" w:hAnsi="宋体" w:eastAsia="宋体" w:cs="TimesNewRomanPSMT"/>
          <w:color w:val="000000"/>
          <w:kern w:val="0"/>
          <w:szCs w:val="21"/>
        </w:rPr>
        <w:t>4</w:t>
      </w:r>
      <w:r>
        <w:rPr>
          <w:rFonts w:hint="eastAsia" w:ascii="宋体" w:hAnsi="宋体" w:eastAsia="宋体" w:cs="TimesNewRomanPSMT"/>
          <w:color w:val="000000"/>
          <w:kern w:val="0"/>
          <w:szCs w:val="21"/>
        </w:rPr>
        <w:t xml:space="preserve">） </w:t>
      </w:r>
      <w:r>
        <w:rPr>
          <w:rFonts w:hint="eastAsia" w:ascii="宋体" w:hAnsi="宋体" w:eastAsia="宋体"/>
          <w:color w:val="000000" w:themeColor="text1"/>
          <w:szCs w:val="21"/>
          <w14:textFill>
            <w14:solidFill>
              <w14:schemeClr w14:val="tx1"/>
            </w14:solidFill>
          </w14:textFill>
        </w:rPr>
        <w:t>信息技术和全球供应链管理</w:t>
      </w:r>
      <w:r>
        <w:rPr>
          <w:rFonts w:hint="eastAsia" w:ascii="宋体" w:hAnsi="宋体" w:eastAsia="宋体" w:cs="TimesNewRomanPSMT"/>
          <w:color w:val="000000"/>
          <w:kern w:val="0"/>
          <w:szCs w:val="21"/>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w:t>
      </w:r>
      <w:r>
        <w:rPr>
          <w:rFonts w:hint="eastAsia" w:ascii="宋体" w:hAnsi="宋体" w:eastAsia="宋体" w:cs="Times New Roman"/>
          <w:color w:val="000000"/>
          <w:kern w:val="0"/>
          <w:szCs w:val="21"/>
        </w:rPr>
        <w:t>供应链管理的内涵</w:t>
      </w:r>
      <w:r>
        <w:rPr>
          <w:rFonts w:hint="eastAsia" w:ascii="宋体" w:hAnsi="宋体" w:eastAsia="宋体" w:cs="宋体"/>
          <w:color w:val="000000"/>
          <w:kern w:val="0"/>
          <w:szCs w:val="21"/>
        </w:rPr>
        <w:t>；（2）</w:t>
      </w:r>
      <w:r>
        <w:rPr>
          <w:rFonts w:hint="eastAsia" w:ascii="宋体" w:hAnsi="宋体" w:eastAsia="宋体"/>
          <w:color w:val="000000" w:themeColor="text1"/>
          <w:szCs w:val="21"/>
          <w14:textFill>
            <w14:solidFill>
              <w14:schemeClr w14:val="tx1"/>
            </w14:solidFill>
          </w14:textFill>
        </w:rPr>
        <w:t>信息技术和全球供应链管理</w:t>
      </w:r>
      <w:r>
        <w:rPr>
          <w:rFonts w:hint="eastAsia" w:ascii="宋体" w:hAnsi="宋体" w:eastAsia="宋体" w:cs="宋体"/>
          <w:color w:val="000000"/>
          <w:kern w:val="0"/>
          <w:szCs w:val="21"/>
        </w:rPr>
        <w:t>。</w:t>
      </w:r>
    </w:p>
    <w:p>
      <w:pPr>
        <w:pStyle w:val="15"/>
        <w:spacing w:line="360" w:lineRule="auto"/>
        <w:ind w:firstLine="420" w:firstLineChars="200"/>
        <w:jc w:val="both"/>
        <w:rPr>
          <w:rFonts w:ascii="宋体" w:hAnsi="宋体" w:eastAsia="宋体" w:cs="TimesNewRomanPSMT"/>
          <w:b w:val="0"/>
          <w:snapToGrid/>
          <w:color w:val="000000"/>
          <w:sz w:val="21"/>
          <w:szCs w:val="21"/>
        </w:rPr>
      </w:pPr>
      <w:r>
        <w:rPr>
          <w:rFonts w:ascii="宋体" w:hAnsi="宋体" w:eastAsia="宋体" w:cs="TimesNewRomanPSMT"/>
          <w:b w:val="0"/>
          <w:snapToGrid/>
          <w:color w:val="000000"/>
          <w:sz w:val="21"/>
          <w:szCs w:val="21"/>
        </w:rPr>
        <w:t>3.</w:t>
      </w:r>
      <w:r>
        <w:rPr>
          <w:rFonts w:hint="eastAsia" w:ascii="宋体" w:hAnsi="宋体" w:eastAsia="宋体" w:cs="TimesNewRomanPSMT"/>
          <w:b w:val="0"/>
          <w:snapToGrid/>
          <w:color w:val="000000"/>
          <w:sz w:val="21"/>
          <w:szCs w:val="21"/>
        </w:rPr>
        <w:t>教学内容：（1）供应链管理；（2）全球生产决策考虑的因素；（3）自制和外购的决策；（4）全球供应链管理</w:t>
      </w:r>
      <w:r>
        <w:rPr>
          <w:rFonts w:hint="eastAsia" w:ascii="宋体" w:hAnsi="宋体" w:eastAsia="宋体" w:cs="TimesNewRomanPSMT"/>
          <w:color w:val="000000"/>
          <w:sz w:val="21"/>
          <w:szCs w:val="21"/>
        </w:rPr>
        <w: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w:t>
      </w:r>
      <w:r>
        <w:rPr>
          <w:rFonts w:hint="eastAsia" w:ascii="宋体" w:hAnsi="宋体" w:eastAsia="宋体" w:cs="TimesNewRomanPSMT"/>
          <w:color w:val="000000"/>
          <w:kern w:val="0"/>
          <w:szCs w:val="21"/>
        </w:rPr>
        <w:t>教学方法：讲授、讨论、案例分析。</w:t>
      </w:r>
    </w:p>
    <w:p>
      <w:pPr>
        <w:widowControl/>
        <w:spacing w:before="156" w:beforeLines="50" w:after="156" w:afterLines="50"/>
        <w:ind w:firstLine="420" w:firstLineChars="200"/>
        <w:jc w:val="left"/>
        <w:rPr>
          <w:rFonts w:ascii="宋体" w:hAnsi="宋体" w:eastAsia="宋体"/>
          <w:color w:val="000000" w:themeColor="text1"/>
          <w:szCs w:val="21"/>
          <w14:textFill>
            <w14:solidFill>
              <w14:schemeClr w14:val="tx1"/>
            </w14:solidFill>
          </w14:textFill>
        </w:rPr>
      </w:pPr>
      <w:r>
        <w:rPr>
          <w:rFonts w:ascii="宋体" w:hAnsi="宋体" w:eastAsia="宋体" w:cs="TimesNewRomanPSMT"/>
          <w:color w:val="000000"/>
          <w:kern w:val="0"/>
          <w:szCs w:val="21"/>
        </w:rPr>
        <w:t>5</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教学评价：香港利丰贸易供应链管理实践。</w:t>
      </w:r>
    </w:p>
    <w:p>
      <w:pPr>
        <w:pStyle w:val="15"/>
        <w:spacing w:line="360" w:lineRule="auto"/>
        <w:ind w:left="720"/>
        <w:jc w:val="both"/>
        <w:rPr>
          <w:rFonts w:ascii="黑体" w:hAnsi="黑体" w:eastAsia="黑体"/>
          <w:b w:val="0"/>
          <w:snapToGrid/>
          <w:color w:val="000000" w:themeColor="text1"/>
          <w:szCs w:val="24"/>
          <w14:textFill>
            <w14:solidFill>
              <w14:schemeClr w14:val="tx1"/>
            </w14:solidFill>
          </w14:textFill>
        </w:rPr>
      </w:pPr>
      <w:r>
        <w:rPr>
          <w:rFonts w:hint="eastAsia" w:ascii="黑体" w:hAnsi="黑体" w:eastAsia="黑体"/>
          <w:b w:val="0"/>
          <w:szCs w:val="24"/>
        </w:rPr>
        <w:t xml:space="preserve">第八章  </w:t>
      </w:r>
      <w:r>
        <w:rPr>
          <w:rFonts w:hint="eastAsia" w:ascii="黑体" w:hAnsi="黑体" w:eastAsia="黑体"/>
          <w:b w:val="0"/>
          <w:snapToGrid/>
          <w:color w:val="000000" w:themeColor="text1"/>
          <w:szCs w:val="24"/>
          <w14:textFill>
            <w14:solidFill>
              <w14:schemeClr w14:val="tx1"/>
            </w14:solidFill>
          </w14:textFill>
        </w:rPr>
        <w:t>国际商务综合案例分析</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w:t>
      </w:r>
      <w:r>
        <w:rPr>
          <w:rFonts w:hint="eastAsia" w:ascii="宋体" w:hAnsi="宋体" w:eastAsia="宋体" w:cs="TimesNewRomanPSMT"/>
          <w:color w:val="000000"/>
          <w:kern w:val="0"/>
          <w:szCs w:val="21"/>
        </w:rPr>
        <w:t>）通过综合案例的分析，让学生进一步了解在国际商务活动中，文化差异和法律对国际商务活动的影响；（2）了解进行国际商务活动可能遇到的各种风险及其规避的方法；（3）了解伦理、企业社会责任和可持续发展等相关问题。</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 xml:space="preserve">教学重难点：（1）文化差异对国际商务活动的影响；（2）法律对国际商务活动的影响及企业合规的重要性；（3）国际商务中的伦理问题 </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 根据最新情况选择相关案例进行讨论和分析。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教学方法：案例分析。</w:t>
      </w:r>
    </w:p>
    <w:p>
      <w:pPr>
        <w:widowControl/>
        <w:spacing w:line="360" w:lineRule="auto"/>
        <w:ind w:firstLine="420" w:firstLineChars="200"/>
        <w:contextualSpacing/>
        <w:rPr>
          <w:rFonts w:eastAsia="宋体"/>
          <w:color w:val="000000" w:themeColor="text1"/>
          <w14:textFill>
            <w14:solidFill>
              <w14:schemeClr w14:val="tx1"/>
            </w14:solidFill>
          </w14:textFill>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 xml:space="preserve">教学评价： </w:t>
      </w:r>
      <w:r>
        <w:rPr>
          <w:rFonts w:hint="eastAsia" w:eastAsia="宋体"/>
          <w:color w:val="000000" w:themeColor="text1"/>
          <w14:textFill>
            <w14:solidFill>
              <w14:schemeClr w14:val="tx1"/>
            </w14:solidFill>
          </w14:textFill>
        </w:rPr>
        <w:t>培养学生具有较强的国际商务分析与决策能力及组织协调国际商务工作的领导潜质。</w:t>
      </w:r>
    </w:p>
    <w:p>
      <w:pPr>
        <w:widowControl/>
        <w:spacing w:before="156" w:beforeLines="50" w:after="156" w:afterLines="50"/>
        <w:ind w:firstLine="560" w:firstLineChars="200"/>
        <w:jc w:val="left"/>
      </w:pPr>
      <w:r>
        <w:rPr>
          <w:rFonts w:hint="eastAsia" w:ascii="黑体" w:hAnsi="黑体" w:eastAsia="黑体"/>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第一章 </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绪论</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第二章 </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国际商务环境</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第三章 </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国际商务战略</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第四章 </w:t>
            </w:r>
          </w:p>
        </w:tc>
        <w:tc>
          <w:tcPr>
            <w:tcW w:w="3278" w:type="dxa"/>
            <w:vAlign w:val="center"/>
          </w:tcPr>
          <w:p>
            <w:pPr>
              <w:widowControl/>
              <w:spacing w:before="156" w:beforeLines="50" w:after="156" w:afterLines="50"/>
              <w:jc w:val="center"/>
              <w:rPr>
                <w:rFonts w:ascii="宋体" w:hAnsi="宋体" w:eastAsia="宋体"/>
              </w:rPr>
            </w:pPr>
            <w:r>
              <w:rPr>
                <w:rFonts w:ascii="宋体" w:hAnsi="宋体" w:eastAsia="宋体"/>
              </w:rPr>
              <w:t>国际商务组织</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第五章 </w:t>
            </w:r>
          </w:p>
        </w:tc>
        <w:tc>
          <w:tcPr>
            <w:tcW w:w="3278" w:type="dxa"/>
            <w:vAlign w:val="center"/>
          </w:tcPr>
          <w:p>
            <w:pPr>
              <w:widowControl/>
              <w:spacing w:before="156" w:beforeLines="50" w:after="156" w:afterLines="50"/>
              <w:jc w:val="center"/>
              <w:rPr>
                <w:rFonts w:ascii="宋体" w:hAnsi="宋体" w:eastAsia="宋体"/>
              </w:rPr>
            </w:pPr>
            <w:r>
              <w:rPr>
                <w:rFonts w:ascii="宋体" w:hAnsi="宋体" w:eastAsia="宋体"/>
              </w:rPr>
              <w:t>国家评估与选择</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第六章 </w:t>
            </w:r>
          </w:p>
        </w:tc>
        <w:tc>
          <w:tcPr>
            <w:tcW w:w="3278" w:type="dxa"/>
            <w:vAlign w:val="center"/>
          </w:tcPr>
          <w:p>
            <w:pPr>
              <w:widowControl/>
              <w:spacing w:before="156" w:beforeLines="50" w:after="156" w:afterLines="50"/>
              <w:jc w:val="center"/>
              <w:rPr>
                <w:rFonts w:ascii="宋体" w:hAnsi="宋体" w:eastAsia="宋体"/>
              </w:rPr>
            </w:pPr>
            <w:r>
              <w:rPr>
                <w:rFonts w:ascii="宋体" w:hAnsi="宋体" w:eastAsia="宋体"/>
              </w:rPr>
              <w:t>国际市场进入方式</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第七章 </w:t>
            </w:r>
          </w:p>
        </w:tc>
        <w:tc>
          <w:tcPr>
            <w:tcW w:w="3278" w:type="dxa"/>
            <w:vAlign w:val="center"/>
          </w:tcPr>
          <w:p>
            <w:pPr>
              <w:widowControl/>
              <w:spacing w:before="156" w:beforeLines="50" w:after="156" w:afterLines="50"/>
              <w:jc w:val="center"/>
              <w:rPr>
                <w:rFonts w:ascii="宋体" w:hAnsi="宋体" w:eastAsia="宋体"/>
              </w:rPr>
            </w:pPr>
            <w:r>
              <w:rPr>
                <w:rFonts w:ascii="宋体" w:hAnsi="宋体" w:eastAsia="宋体"/>
              </w:rPr>
              <w:t>全球</w:t>
            </w:r>
            <w:r>
              <w:rPr>
                <w:rFonts w:hint="eastAsia" w:ascii="宋体" w:hAnsi="宋体" w:eastAsia="宋体"/>
              </w:rPr>
              <w:t>运营和供应链</w:t>
            </w:r>
            <w:r>
              <w:rPr>
                <w:rFonts w:ascii="宋体" w:hAnsi="宋体" w:eastAsia="宋体"/>
              </w:rPr>
              <w:t>管理</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第八章 </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国际商务综合案例分析</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bl>
    <w:p>
      <w:pPr>
        <w:widowControl/>
        <w:spacing w:before="156" w:beforeLines="50" w:after="156" w:afterLines="50"/>
        <w:jc w:val="left"/>
        <w:rPr>
          <w:rFonts w:ascii="黑体" w:hAnsi="黑体" w:eastAsia="黑体"/>
          <w:sz w:val="28"/>
          <w:szCs w:val="28"/>
        </w:rPr>
      </w:pPr>
      <w:r>
        <w:rPr>
          <w:rFonts w:hint="eastAsia" w:ascii="黑体" w:hAnsi="黑体" w:eastAsia="黑体"/>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418"/>
        <w:gridCol w:w="2126"/>
        <w:gridCol w:w="567"/>
        <w:gridCol w:w="184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0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41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12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56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84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1</w:t>
            </w:r>
          </w:p>
        </w:tc>
        <w:tc>
          <w:tcPr>
            <w:tcW w:w="709" w:type="dxa"/>
            <w:vAlign w:val="center"/>
          </w:tcPr>
          <w:p>
            <w:pPr>
              <w:widowControl/>
              <w:spacing w:before="156" w:beforeLines="50" w:after="156" w:afterLines="50"/>
              <w:jc w:val="left"/>
              <w:rPr>
                <w:rFonts w:ascii="宋体" w:hAnsi="宋体" w:eastAsia="宋体"/>
                <w:szCs w:val="21"/>
              </w:rPr>
            </w:pPr>
          </w:p>
        </w:tc>
        <w:tc>
          <w:tcPr>
            <w:tcW w:w="141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rPr>
              <w:t>绪论</w:t>
            </w:r>
          </w:p>
        </w:tc>
        <w:tc>
          <w:tcPr>
            <w:tcW w:w="2126" w:type="dxa"/>
            <w:vAlign w:val="center"/>
          </w:tcPr>
          <w:p>
            <w:pPr>
              <w:widowControl/>
              <w:spacing w:before="156" w:beforeLines="50" w:after="156" w:afterLines="50"/>
              <w:jc w:val="left"/>
              <w:rPr>
                <w:rFonts w:ascii="宋体" w:hAnsi="宋体" w:eastAsia="宋体"/>
                <w:szCs w:val="21"/>
              </w:rPr>
            </w:pPr>
            <w:r>
              <w:rPr>
                <w:rFonts w:hint="eastAsia" w:eastAsia="宋体"/>
              </w:rPr>
              <w:t>全球化与国际商务</w:t>
            </w:r>
          </w:p>
        </w:tc>
        <w:tc>
          <w:tcPr>
            <w:tcW w:w="567"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3</w:t>
            </w:r>
          </w:p>
        </w:tc>
        <w:tc>
          <w:tcPr>
            <w:tcW w:w="1843" w:type="dxa"/>
            <w:vAlign w:val="center"/>
          </w:tcPr>
          <w:p>
            <w:pPr>
              <w:widowControl/>
              <w:spacing w:before="156" w:beforeLines="50" w:after="156" w:afterLines="50"/>
              <w:jc w:val="left"/>
              <w:rPr>
                <w:rFonts w:ascii="宋体" w:hAnsi="宋体" w:eastAsia="宋体"/>
                <w:szCs w:val="21"/>
              </w:rPr>
            </w:pPr>
            <w:r>
              <w:rPr>
                <w:rFonts w:hint="eastAsia" w:ascii="Times New Roman" w:hAnsi="Times New Roman" w:eastAsia="宋体"/>
                <w:color w:val="000000" w:themeColor="text1"/>
                <w:szCs w:val="24"/>
                <w14:textFill>
                  <w14:solidFill>
                    <w14:schemeClr w14:val="tx1"/>
                  </w14:solidFill>
                </w14:textFill>
              </w:rPr>
              <w:t>理解全球化给各国国际商务带来的机遇与挑战</w:t>
            </w:r>
            <w:r>
              <w:rPr>
                <w:rFonts w:hint="eastAsia" w:ascii="宋体" w:hAnsi="宋体" w:eastAsia="宋体"/>
                <w:szCs w:val="21"/>
              </w:rPr>
              <w:t xml:space="preserve"> </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8</w:t>
            </w:r>
          </w:p>
        </w:tc>
        <w:tc>
          <w:tcPr>
            <w:tcW w:w="709" w:type="dxa"/>
            <w:vAlign w:val="center"/>
          </w:tcPr>
          <w:p>
            <w:pPr>
              <w:widowControl/>
              <w:spacing w:before="156" w:beforeLines="50" w:after="156" w:afterLines="50"/>
              <w:jc w:val="left"/>
              <w:rPr>
                <w:rFonts w:ascii="宋体" w:hAnsi="宋体" w:eastAsia="宋体"/>
                <w:szCs w:val="21"/>
              </w:rPr>
            </w:pPr>
          </w:p>
        </w:tc>
        <w:tc>
          <w:tcPr>
            <w:tcW w:w="141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国际商务环境</w:t>
            </w:r>
          </w:p>
        </w:tc>
        <w:tc>
          <w:tcPr>
            <w:tcW w:w="2126"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各种国际商务环境的组成部分及对国际商务活动的影响</w:t>
            </w:r>
          </w:p>
        </w:tc>
        <w:tc>
          <w:tcPr>
            <w:tcW w:w="567"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18</w:t>
            </w:r>
          </w:p>
        </w:tc>
        <w:tc>
          <w:tcPr>
            <w:tcW w:w="1843"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案例讨论与分析、以及国际商务环境评价的练习题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9</w:t>
            </w:r>
            <w:r>
              <w:rPr>
                <w:rFonts w:hint="eastAsia" w:ascii="宋体" w:hAnsi="宋体" w:eastAsia="宋体"/>
                <w:szCs w:val="21"/>
              </w:rPr>
              <w:t>-</w:t>
            </w:r>
            <w:r>
              <w:rPr>
                <w:rFonts w:ascii="宋体" w:hAnsi="宋体" w:eastAsia="宋体"/>
                <w:szCs w:val="21"/>
              </w:rPr>
              <w:t>10</w:t>
            </w:r>
          </w:p>
        </w:tc>
        <w:tc>
          <w:tcPr>
            <w:tcW w:w="709" w:type="dxa"/>
            <w:vAlign w:val="center"/>
          </w:tcPr>
          <w:p>
            <w:pPr>
              <w:widowControl/>
              <w:spacing w:before="156" w:beforeLines="50" w:after="156" w:afterLines="50"/>
              <w:jc w:val="left"/>
              <w:rPr>
                <w:rFonts w:ascii="宋体" w:hAnsi="宋体" w:eastAsia="宋体"/>
                <w:szCs w:val="21"/>
              </w:rPr>
            </w:pPr>
          </w:p>
        </w:tc>
        <w:tc>
          <w:tcPr>
            <w:tcW w:w="141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rPr>
              <w:t>国际商务战略</w:t>
            </w:r>
          </w:p>
        </w:tc>
        <w:tc>
          <w:tcPr>
            <w:tcW w:w="2126"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cs="宋体"/>
                <w:color w:val="000000"/>
                <w:kern w:val="0"/>
                <w:szCs w:val="21"/>
              </w:rPr>
              <w:t>国际战略的主要类型及其特点</w:t>
            </w:r>
          </w:p>
        </w:tc>
        <w:tc>
          <w:tcPr>
            <w:tcW w:w="567"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6</w:t>
            </w:r>
          </w:p>
        </w:tc>
        <w:tc>
          <w:tcPr>
            <w:tcW w:w="1843"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运用战略分析框架对某企业的战略进行分析</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11</w:t>
            </w:r>
            <w:r>
              <w:rPr>
                <w:rFonts w:hint="eastAsia" w:ascii="宋体" w:hAnsi="宋体" w:eastAsia="宋体"/>
                <w:szCs w:val="21"/>
              </w:rPr>
              <w:t>-</w:t>
            </w:r>
            <w:r>
              <w:rPr>
                <w:rFonts w:ascii="宋体" w:hAnsi="宋体" w:eastAsia="宋体"/>
                <w:szCs w:val="21"/>
              </w:rPr>
              <w:t>12</w:t>
            </w:r>
          </w:p>
        </w:tc>
        <w:tc>
          <w:tcPr>
            <w:tcW w:w="709" w:type="dxa"/>
            <w:vAlign w:val="center"/>
          </w:tcPr>
          <w:p>
            <w:pPr>
              <w:widowControl/>
              <w:spacing w:before="156" w:beforeLines="50" w:after="156" w:afterLines="50"/>
              <w:jc w:val="left"/>
              <w:rPr>
                <w:rFonts w:ascii="宋体" w:hAnsi="宋体" w:eastAsia="宋体"/>
                <w:szCs w:val="21"/>
              </w:rPr>
            </w:pPr>
          </w:p>
        </w:tc>
        <w:tc>
          <w:tcPr>
            <w:tcW w:w="1418" w:type="dxa"/>
            <w:vAlign w:val="center"/>
          </w:tcPr>
          <w:p>
            <w:pPr>
              <w:widowControl/>
              <w:spacing w:before="156" w:beforeLines="50" w:after="156" w:afterLines="50"/>
              <w:jc w:val="left"/>
              <w:rPr>
                <w:rFonts w:ascii="宋体" w:hAnsi="宋体" w:eastAsia="宋体"/>
                <w:szCs w:val="21"/>
              </w:rPr>
            </w:pPr>
            <w:r>
              <w:rPr>
                <w:rFonts w:ascii="宋体" w:hAnsi="宋体" w:eastAsia="宋体"/>
              </w:rPr>
              <w:t>国际商务组织</w:t>
            </w:r>
          </w:p>
        </w:tc>
        <w:tc>
          <w:tcPr>
            <w:tcW w:w="2126"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国际商务组织的基本类型、</w:t>
            </w:r>
            <w:r>
              <w:rPr>
                <w:rFonts w:hint="eastAsia" w:ascii="宋体" w:hAnsi="宋体" w:eastAsia="宋体" w:cs="宋体"/>
                <w:color w:val="000000"/>
                <w:kern w:val="0"/>
                <w:szCs w:val="21"/>
              </w:rPr>
              <w:t>I—R框架下的组织模型</w:t>
            </w:r>
          </w:p>
        </w:tc>
        <w:tc>
          <w:tcPr>
            <w:tcW w:w="567"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6</w:t>
            </w:r>
          </w:p>
        </w:tc>
        <w:tc>
          <w:tcPr>
            <w:tcW w:w="1843"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cs="宋体"/>
                <w:color w:val="000000"/>
                <w:kern w:val="0"/>
                <w:szCs w:val="21"/>
              </w:rPr>
              <w:t>I—R框架下的组织模型的特点及企业文化的重要性</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3</w:t>
            </w:r>
          </w:p>
        </w:tc>
        <w:tc>
          <w:tcPr>
            <w:tcW w:w="709" w:type="dxa"/>
            <w:vAlign w:val="center"/>
          </w:tcPr>
          <w:p>
            <w:pPr>
              <w:widowControl/>
              <w:spacing w:before="156" w:beforeLines="50" w:after="156" w:afterLines="50"/>
              <w:jc w:val="left"/>
              <w:rPr>
                <w:rFonts w:ascii="宋体" w:hAnsi="宋体" w:eastAsia="宋体"/>
                <w:szCs w:val="21"/>
              </w:rPr>
            </w:pPr>
          </w:p>
        </w:tc>
        <w:tc>
          <w:tcPr>
            <w:tcW w:w="1418" w:type="dxa"/>
            <w:vAlign w:val="center"/>
          </w:tcPr>
          <w:p>
            <w:pPr>
              <w:widowControl/>
              <w:spacing w:before="156" w:beforeLines="50" w:after="156" w:afterLines="50"/>
              <w:jc w:val="left"/>
              <w:rPr>
                <w:rFonts w:ascii="宋体" w:hAnsi="宋体" w:eastAsia="宋体"/>
                <w:szCs w:val="21"/>
              </w:rPr>
            </w:pPr>
            <w:r>
              <w:rPr>
                <w:rFonts w:ascii="宋体" w:hAnsi="宋体" w:eastAsia="宋体"/>
              </w:rPr>
              <w:t>国家评估与选择</w:t>
            </w:r>
          </w:p>
        </w:tc>
        <w:tc>
          <w:tcPr>
            <w:tcW w:w="2126"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目标市场选择依据及选择方法</w:t>
            </w:r>
          </w:p>
        </w:tc>
        <w:tc>
          <w:tcPr>
            <w:tcW w:w="567"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3</w:t>
            </w:r>
          </w:p>
        </w:tc>
        <w:tc>
          <w:tcPr>
            <w:tcW w:w="1843"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运用某一方法选择某产品的目标市场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14</w:t>
            </w:r>
            <w:r>
              <w:rPr>
                <w:rFonts w:hint="eastAsia" w:ascii="宋体" w:hAnsi="宋体" w:eastAsia="宋体"/>
                <w:szCs w:val="21"/>
              </w:rPr>
              <w:t>-</w:t>
            </w:r>
            <w:r>
              <w:rPr>
                <w:rFonts w:ascii="宋体" w:hAnsi="宋体" w:eastAsia="宋体"/>
                <w:szCs w:val="21"/>
              </w:rPr>
              <w:t>15</w:t>
            </w:r>
          </w:p>
        </w:tc>
        <w:tc>
          <w:tcPr>
            <w:tcW w:w="709" w:type="dxa"/>
            <w:vAlign w:val="center"/>
          </w:tcPr>
          <w:p>
            <w:pPr>
              <w:widowControl/>
              <w:spacing w:before="156" w:beforeLines="50" w:after="156" w:afterLines="50"/>
              <w:jc w:val="left"/>
              <w:rPr>
                <w:rFonts w:ascii="宋体" w:hAnsi="宋体" w:eastAsia="宋体"/>
                <w:szCs w:val="21"/>
              </w:rPr>
            </w:pPr>
          </w:p>
        </w:tc>
        <w:tc>
          <w:tcPr>
            <w:tcW w:w="1418" w:type="dxa"/>
            <w:vAlign w:val="center"/>
          </w:tcPr>
          <w:p>
            <w:pPr>
              <w:widowControl/>
              <w:spacing w:before="156" w:beforeLines="50" w:after="156" w:afterLines="50"/>
              <w:jc w:val="left"/>
              <w:rPr>
                <w:rFonts w:ascii="宋体" w:hAnsi="宋体" w:eastAsia="宋体"/>
                <w:szCs w:val="21"/>
              </w:rPr>
            </w:pPr>
            <w:r>
              <w:rPr>
                <w:rFonts w:ascii="宋体" w:hAnsi="宋体" w:eastAsia="宋体"/>
              </w:rPr>
              <w:t>国际市场进入方式</w:t>
            </w:r>
          </w:p>
        </w:tc>
        <w:tc>
          <w:tcPr>
            <w:tcW w:w="2126"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国际市场进入方式的利弊分析</w:t>
            </w:r>
          </w:p>
        </w:tc>
        <w:tc>
          <w:tcPr>
            <w:tcW w:w="567"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3</w:t>
            </w:r>
          </w:p>
        </w:tc>
        <w:tc>
          <w:tcPr>
            <w:tcW w:w="1843"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选择国际市场进入方式时需要考虑的因素及选择步骤</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16</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ascii="宋体" w:hAnsi="宋体" w:eastAsia="宋体"/>
              </w:rPr>
              <w:t>全球</w:t>
            </w:r>
            <w:r>
              <w:rPr>
                <w:rFonts w:hint="eastAsia" w:ascii="宋体" w:hAnsi="宋体" w:eastAsia="宋体"/>
              </w:rPr>
              <w:t>运营和供应链</w:t>
            </w:r>
            <w:r>
              <w:rPr>
                <w:rFonts w:ascii="宋体" w:hAnsi="宋体" w:eastAsia="宋体"/>
              </w:rPr>
              <w:t>管理</w:t>
            </w:r>
          </w:p>
        </w:tc>
        <w:tc>
          <w:tcPr>
            <w:tcW w:w="2126"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供应链管理的概念及全球供应链管理</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1843" w:type="dxa"/>
            <w:vAlign w:val="center"/>
          </w:tcPr>
          <w:p>
            <w:pPr>
              <w:widowControl/>
              <w:spacing w:before="156" w:beforeLines="50" w:after="156" w:afterLines="50"/>
              <w:rPr>
                <w:rFonts w:ascii="宋体" w:hAnsi="宋体" w:eastAsia="宋体"/>
                <w:szCs w:val="21"/>
              </w:rPr>
            </w:pPr>
            <w:r>
              <w:rPr>
                <w:rFonts w:hint="eastAsia" w:ascii="宋体" w:hAnsi="宋体" w:eastAsia="宋体"/>
                <w:szCs w:val="21"/>
              </w:rPr>
              <w:t>全球供应链管理放方式</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7</w:t>
            </w:r>
            <w:r>
              <w:rPr>
                <w:rFonts w:hint="eastAsia" w:ascii="宋体" w:hAnsi="宋体" w:eastAsia="宋体"/>
                <w:szCs w:val="21"/>
              </w:rPr>
              <w:t>-</w:t>
            </w:r>
            <w:r>
              <w:rPr>
                <w:rFonts w:ascii="宋体" w:hAnsi="宋体" w:eastAsia="宋体"/>
                <w:szCs w:val="21"/>
              </w:rPr>
              <w:t>18</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hint="eastAsia" w:ascii="宋体" w:hAnsi="宋体" w:eastAsia="宋体"/>
              </w:rPr>
              <w:t>国际商务综合案例分析</w:t>
            </w:r>
          </w:p>
        </w:tc>
        <w:tc>
          <w:tcPr>
            <w:tcW w:w="2126"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根据市场热点问题设计案例</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6</w:t>
            </w:r>
          </w:p>
        </w:tc>
        <w:tc>
          <w:tcPr>
            <w:tcW w:w="1843"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考核学生国际商务知识的综合运用能力</w:t>
            </w:r>
          </w:p>
        </w:tc>
        <w:tc>
          <w:tcPr>
            <w:tcW w:w="5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0" w:firstLineChars="200"/>
        <w:jc w:val="left"/>
        <w:rPr>
          <w:rFonts w:eastAsia="黑体"/>
        </w:rPr>
      </w:pPr>
      <w:r>
        <w:rPr>
          <w:rFonts w:hint="eastAsia" w:ascii="黑体" w:hAnsi="黑体" w:eastAsia="黑体"/>
          <w:sz w:val="28"/>
          <w:szCs w:val="28"/>
        </w:rPr>
        <w:t>六、教材及参考书目（以最新版为准）</w:t>
      </w:r>
    </w:p>
    <w:p>
      <w:pPr>
        <w:widowControl/>
        <w:spacing w:before="156" w:beforeLines="50" w:after="156" w:afterLines="50"/>
        <w:ind w:firstLine="420" w:firstLineChars="200"/>
        <w:jc w:val="left"/>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 xml:space="preserve"> </w:t>
      </w:r>
      <w:r>
        <w:rPr>
          <w:rFonts w:hint="eastAsia" w:ascii="宋体" w:hAnsi="宋体" w:eastAsia="宋体"/>
        </w:rPr>
        <w:t xml:space="preserve">王炜瀚 </w:t>
      </w:r>
      <w:r>
        <w:rPr>
          <w:rFonts w:ascii="宋体" w:hAnsi="宋体" w:eastAsia="宋体"/>
        </w:rPr>
        <w:t xml:space="preserve"> </w:t>
      </w:r>
      <w:r>
        <w:rPr>
          <w:rFonts w:hint="eastAsia" w:ascii="宋体" w:hAnsi="宋体" w:eastAsia="宋体"/>
        </w:rPr>
        <w:t xml:space="preserve">王健等编著 </w:t>
      </w:r>
      <w:r>
        <w:rPr>
          <w:rFonts w:ascii="宋体" w:hAnsi="宋体" w:eastAsia="宋体"/>
        </w:rPr>
        <w:t xml:space="preserve">  </w:t>
      </w:r>
      <w:r>
        <w:rPr>
          <w:rFonts w:hint="eastAsia" w:ascii="宋体" w:hAnsi="宋体" w:eastAsia="宋体"/>
        </w:rPr>
        <w:t>《国际商务》 （第4版）</w:t>
      </w:r>
      <w:r>
        <w:rPr>
          <w:rFonts w:ascii="宋体" w:hAnsi="宋体" w:eastAsia="宋体"/>
        </w:rPr>
        <w:t xml:space="preserve"> </w:t>
      </w:r>
      <w:r>
        <w:rPr>
          <w:rFonts w:hint="eastAsia" w:ascii="宋体" w:hAnsi="宋体" w:eastAsia="宋体"/>
        </w:rPr>
        <w:t>机械工业出版社；</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 唐纳德</w:t>
      </w:r>
      <w:r>
        <w:rPr>
          <w:rFonts w:ascii="宋体" w:hAnsi="宋体" w:eastAsia="宋体"/>
        </w:rPr>
        <w:t xml:space="preserve"> </w:t>
      </w:r>
      <w:r>
        <w:rPr>
          <w:rFonts w:hint="eastAsia" w:ascii="宋体" w:hAnsi="宋体" w:eastAsia="宋体"/>
        </w:rPr>
        <w:t>.A</w:t>
      </w:r>
      <w:r>
        <w:rPr>
          <w:rFonts w:ascii="宋体" w:hAnsi="宋体" w:eastAsia="宋体"/>
        </w:rPr>
        <w:t xml:space="preserve"> </w:t>
      </w:r>
      <w:r>
        <w:rPr>
          <w:rFonts w:hint="eastAsia" w:ascii="宋体" w:hAnsi="宋体" w:eastAsia="宋体"/>
        </w:rPr>
        <w:t>.鲍尔等，《国际商务》（第</w:t>
      </w:r>
      <w:r>
        <w:rPr>
          <w:rFonts w:ascii="宋体" w:hAnsi="宋体" w:eastAsia="宋体"/>
        </w:rPr>
        <w:t>12</w:t>
      </w:r>
      <w:r>
        <w:rPr>
          <w:rFonts w:hint="eastAsia" w:ascii="宋体" w:hAnsi="宋体" w:eastAsia="宋体"/>
        </w:rPr>
        <w:t>版），北京联合出版社，</w:t>
      </w:r>
      <w:r>
        <w:rPr>
          <w:rFonts w:ascii="宋体" w:hAnsi="宋体" w:eastAsia="宋体"/>
        </w:rPr>
        <w:t>2016</w:t>
      </w:r>
      <w:r>
        <w:rPr>
          <w:rFonts w:hint="eastAsia" w:ascii="宋体" w:hAnsi="宋体" w:eastAsia="宋体"/>
        </w:rPr>
        <w:t>年；</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 约翰 D</w:t>
      </w:r>
      <w:r>
        <w:rPr>
          <w:rFonts w:ascii="宋体" w:hAnsi="宋体" w:eastAsia="宋体"/>
        </w:rPr>
        <w:t xml:space="preserve"> </w:t>
      </w:r>
      <w:r>
        <w:rPr>
          <w:rFonts w:hint="eastAsia" w:ascii="宋体" w:hAnsi="宋体" w:eastAsia="宋体"/>
        </w:rPr>
        <w:t>.丹尼尔斯等，《国际商务环境与运作》（原书第1</w:t>
      </w:r>
      <w:r>
        <w:rPr>
          <w:rFonts w:ascii="宋体" w:hAnsi="宋体" w:eastAsia="宋体"/>
        </w:rPr>
        <w:t>5</w:t>
      </w:r>
      <w:r>
        <w:rPr>
          <w:rFonts w:hint="eastAsia" w:ascii="宋体" w:hAnsi="宋体" w:eastAsia="宋体"/>
        </w:rPr>
        <w:t>版），机械工业出版社，2</w:t>
      </w:r>
      <w:r>
        <w:rPr>
          <w:rFonts w:ascii="宋体" w:hAnsi="宋体" w:eastAsia="宋体"/>
        </w:rPr>
        <w:t>017</w:t>
      </w:r>
      <w:r>
        <w:rPr>
          <w:rFonts w:hint="eastAsia" w:ascii="宋体" w:hAnsi="宋体" w:eastAsia="宋体"/>
        </w:rPr>
        <w:t>年。</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黑体" w:hAnsi="黑体" w:eastAsia="黑体"/>
          <w:sz w:val="28"/>
          <w:szCs w:val="28"/>
        </w:rPr>
        <w:t xml:space="preserve"> 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1．讲授法：理论讲授，主要教学方法，贯穿教学全过程。</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2．讨论法：对本门课程的主要内容，采用问题形式，在师生和学生之间展开讨论。</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 练习法：运用课程中的相关分析方法，进行某企业或某行业的具体分析。</w:t>
      </w:r>
    </w:p>
    <w:p>
      <w:pPr>
        <w:widowControl/>
        <w:spacing w:before="156" w:beforeLines="50" w:after="156" w:afterLines="50"/>
        <w:ind w:firstLine="420" w:firstLineChars="200"/>
        <w:jc w:val="left"/>
        <w:rPr>
          <w:rFonts w:ascii="宋体" w:hAnsi="宋体" w:eastAsia="宋体"/>
        </w:rPr>
      </w:pPr>
      <w:r>
        <w:rPr>
          <w:rFonts w:ascii="宋体" w:hAnsi="宋体" w:eastAsia="宋体"/>
        </w:rPr>
        <w:t>4</w:t>
      </w:r>
      <w:r>
        <w:rPr>
          <w:rFonts w:hint="eastAsia" w:ascii="宋体" w:hAnsi="宋体" w:eastAsia="宋体"/>
        </w:rPr>
        <w:t>.案例分析法：通过案例解读、案例问题回答，提高学生理论知识综合运用能力。</w:t>
      </w:r>
    </w:p>
    <w:p>
      <w:pPr>
        <w:widowControl/>
        <w:spacing w:before="156" w:beforeLines="50" w:after="156" w:afterLines="50"/>
        <w:jc w:val="left"/>
        <w:rPr>
          <w:rFonts w:ascii="黑体" w:hAnsi="黑体" w:eastAsia="黑体"/>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sz w:val="28"/>
          <w:szCs w:val="28"/>
        </w:rPr>
        <w:t xml:space="preserve"> 八</w:t>
      </w:r>
      <w:r>
        <w:rPr>
          <w:rFonts w:hint="eastAsia" w:ascii="黑体" w:hAnsi="黑体" w:eastAsia="黑体" w:cs="黑体"/>
          <w:sz w:val="28"/>
          <w:szCs w:val="28"/>
        </w:rPr>
        <w:t>、</w:t>
      </w:r>
      <w:r>
        <w:rPr>
          <w:rFonts w:hint="eastAsia" w:ascii="黑体" w:hAnsi="黑体" w:eastAsia="黑体"/>
          <w:sz w:val="28"/>
          <w:szCs w:val="28"/>
        </w:rPr>
        <w:t>考核方式及评定方法</w:t>
      </w:r>
    </w:p>
    <w:p>
      <w:pPr>
        <w:widowControl/>
        <w:spacing w:before="156" w:beforeLines="50" w:after="156" w:afterLines="50"/>
        <w:ind w:firstLine="480" w:firstLineChars="200"/>
        <w:jc w:val="left"/>
        <w:rPr>
          <w:rFonts w:ascii="黑体" w:hAnsi="黑体" w:eastAsia="黑体"/>
          <w:sz w:val="24"/>
          <w:szCs w:val="24"/>
        </w:rPr>
      </w:pPr>
      <w:r>
        <w:rPr>
          <w:rFonts w:hint="eastAsia" w:ascii="黑体" w:hAnsi="黑体" w:eastAsia="黑体"/>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rPr>
                <w:rFonts w:hAnsi="宋体"/>
              </w:rPr>
            </w:pPr>
            <w:r>
              <w:rPr>
                <w:rFonts w:hint="eastAsia" w:hAnsi="宋体"/>
              </w:rPr>
              <w:t>国际</w:t>
            </w:r>
            <w:r>
              <w:rPr>
                <w:rFonts w:hint="eastAsia" w:hAnsi="宋体" w:cs="宋体"/>
              </w:rPr>
              <w:t>商务环境</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rPr>
                <w:rFonts w:hAnsi="宋体"/>
              </w:rPr>
            </w:pPr>
            <w:r>
              <w:rPr>
                <w:rFonts w:hint="eastAsia" w:hAnsi="宋体" w:cs="宋体"/>
              </w:rPr>
              <w:t>国际企业战略和组织结构</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rPr>
                <w:rFonts w:hAnsi="宋体"/>
              </w:rPr>
            </w:pPr>
            <w:r>
              <w:rPr>
                <w:rFonts w:hint="eastAsia" w:hAnsi="宋体" w:cs="宋体"/>
              </w:rPr>
              <w:t>目标市场选择方法和国际市场的进入方式</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平时成绩（含考勤、课堂表现与作业）30</w:t>
      </w:r>
      <w:r>
        <w:rPr>
          <w:rFonts w:ascii="宋体" w:hAnsi="宋体" w:eastAsia="宋体"/>
        </w:rPr>
        <w:t>%</w:t>
      </w:r>
      <w:r>
        <w:rPr>
          <w:rFonts w:hint="eastAsia" w:ascii="宋体" w:hAnsi="宋体" w:eastAsia="宋体"/>
        </w:rPr>
        <w:t>，期中考试</w:t>
      </w:r>
      <w:r>
        <w:rPr>
          <w:rFonts w:ascii="宋体" w:hAnsi="宋体" w:eastAsia="宋体"/>
        </w:rPr>
        <w:t>3</w:t>
      </w:r>
      <w:r>
        <w:rPr>
          <w:rFonts w:hint="eastAsia" w:ascii="宋体" w:hAnsi="宋体" w:eastAsia="宋体"/>
        </w:rPr>
        <w:t>0</w:t>
      </w:r>
      <w:r>
        <w:rPr>
          <w:rFonts w:ascii="宋体" w:hAnsi="宋体" w:eastAsia="宋体"/>
        </w:rPr>
        <w:t>%</w:t>
      </w:r>
      <w:r>
        <w:rPr>
          <w:rFonts w:hint="eastAsia" w:ascii="宋体" w:hAnsi="宋体" w:eastAsia="宋体"/>
        </w:rPr>
        <w:t>；期末考试</w:t>
      </w:r>
      <w:r>
        <w:rPr>
          <w:rFonts w:ascii="宋体" w:hAnsi="宋体" w:eastAsia="宋体"/>
        </w:rPr>
        <w:t>40%</w:t>
      </w:r>
      <w:r>
        <w:rPr>
          <w:rFonts w:hint="eastAsia" w:ascii="宋体" w:hAnsi="宋体" w:eastAsia="宋体"/>
        </w:rPr>
        <w:t>，</w:t>
      </w:r>
      <w:r>
        <w:rPr>
          <w:rFonts w:hint="eastAsia" w:ascii="宋体" w:hAnsi="宋体" w:eastAsia="宋体" w:cs="宋体"/>
          <w:color w:val="000000"/>
          <w:szCs w:val="21"/>
        </w:rPr>
        <w:t>开卷。</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40</w:t>
            </w:r>
          </w:p>
        </w:tc>
        <w:tc>
          <w:tcPr>
            <w:tcW w:w="2627" w:type="dxa"/>
            <w:vMerge w:val="restart"/>
            <w:shd w:val="clear" w:color="auto" w:fill="auto"/>
            <w:vAlign w:val="center"/>
          </w:tcPr>
          <w:p>
            <w:pPr>
              <w:spacing w:before="156" w:beforeLines="50" w:after="156" w:afterLines="50"/>
              <w:rPr>
                <w:rFonts w:ascii="宋体" w:hAnsi="宋体" w:eastAsia="宋体" w:cs="宋体"/>
                <w:kern w:val="0"/>
                <w:szCs w:val="21"/>
              </w:rPr>
            </w:pPr>
            <w:r>
              <w:rPr>
                <w:rFonts w:hint="eastAsia" w:ascii="宋体" w:hAnsi="宋体" w:eastAsia="宋体" w:cs="宋体"/>
                <w:kern w:val="0"/>
                <w:szCs w:val="21"/>
              </w:rPr>
              <w:t>总评达成度={0.3ｘ平时分目标成绩+0.</w:t>
            </w:r>
            <w:r>
              <w:rPr>
                <w:rFonts w:ascii="宋体" w:hAnsi="宋体" w:eastAsia="宋体" w:cs="宋体"/>
                <w:kern w:val="0"/>
                <w:szCs w:val="21"/>
              </w:rPr>
              <w:t>3</w:t>
            </w:r>
            <w:r>
              <w:rPr>
                <w:rFonts w:hint="eastAsia" w:ascii="宋体" w:hAnsi="宋体" w:eastAsia="宋体" w:cs="宋体"/>
                <w:kern w:val="0"/>
                <w:szCs w:val="21"/>
              </w:rPr>
              <w:t>ｘ期中分目标成绩 +0.</w:t>
            </w:r>
            <w:r>
              <w:rPr>
                <w:rFonts w:ascii="宋体" w:hAnsi="宋体" w:eastAsia="宋体" w:cs="宋体"/>
                <w:kern w:val="0"/>
                <w:szCs w:val="21"/>
              </w:rPr>
              <w:t>4</w:t>
            </w:r>
            <w:r>
              <w:rPr>
                <w:rFonts w:hint="eastAsia" w:ascii="宋体" w:hAnsi="宋体" w:eastAsia="宋体" w:cs="宋体"/>
                <w:kern w:val="0"/>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w:t>
            </w:r>
            <w:r>
              <w:rPr>
                <w:rFonts w:hint="eastAsia" w:ascii="宋体" w:hAnsi="宋体" w:eastAsia="宋体"/>
                <w:kern w:val="0"/>
                <w:szCs w:val="21"/>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37"/>
        <w:gridCol w:w="1985"/>
        <w:gridCol w:w="1989"/>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83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98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83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98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83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98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83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非常全面、准确地掌握</w:t>
            </w:r>
            <w:r>
              <w:rPr>
                <w:rFonts w:hint="eastAsia" w:ascii="宋体" w:hAnsi="宋体" w:eastAsia="宋体"/>
              </w:rPr>
              <w:t>国际</w:t>
            </w:r>
            <w:r>
              <w:rPr>
                <w:rFonts w:hint="eastAsia" w:ascii="宋体" w:hAnsi="宋体" w:eastAsia="宋体" w:cs="宋体"/>
                <w:szCs w:val="20"/>
              </w:rPr>
              <w:t>商务环境的组成部分及对国际商务活动的影响</w:t>
            </w:r>
          </w:p>
        </w:tc>
        <w:tc>
          <w:tcPr>
            <w:tcW w:w="19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比较全面、准确地掌握</w:t>
            </w:r>
            <w:r>
              <w:rPr>
                <w:rFonts w:hint="eastAsia" w:ascii="宋体" w:hAnsi="宋体" w:eastAsia="宋体"/>
              </w:rPr>
              <w:t>国际</w:t>
            </w:r>
            <w:r>
              <w:rPr>
                <w:rFonts w:hint="eastAsia" w:ascii="宋体" w:hAnsi="宋体" w:eastAsia="宋体" w:cs="宋体"/>
                <w:szCs w:val="20"/>
              </w:rPr>
              <w:t>商务环境的组成部分及对国际商务活动的影响</w:t>
            </w:r>
          </w:p>
        </w:tc>
        <w:tc>
          <w:tcPr>
            <w:tcW w:w="198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对</w:t>
            </w:r>
            <w:r>
              <w:rPr>
                <w:rFonts w:hint="eastAsia" w:ascii="宋体" w:hAnsi="宋体" w:eastAsia="宋体"/>
              </w:rPr>
              <w:t>国际</w:t>
            </w:r>
            <w:r>
              <w:rPr>
                <w:rFonts w:hint="eastAsia" w:ascii="宋体" w:hAnsi="宋体" w:eastAsia="宋体" w:cs="宋体"/>
                <w:szCs w:val="20"/>
              </w:rPr>
              <w:t>商务环境的组成部分及对国际商务活动的影响的理解</w:t>
            </w:r>
            <w:r>
              <w:rPr>
                <w:rFonts w:hint="eastAsia" w:ascii="宋体" w:hAnsi="宋体" w:eastAsia="宋体"/>
                <w:szCs w:val="21"/>
              </w:rPr>
              <w:t>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 xml:space="preserve">基本正确地掌握 </w:t>
            </w:r>
            <w:r>
              <w:rPr>
                <w:rFonts w:hint="eastAsia" w:ascii="宋体" w:hAnsi="宋体" w:eastAsia="宋体"/>
              </w:rPr>
              <w:t>国际</w:t>
            </w:r>
            <w:r>
              <w:rPr>
                <w:rFonts w:hint="eastAsia" w:ascii="宋体" w:hAnsi="宋体" w:eastAsia="宋体" w:cs="宋体"/>
                <w:szCs w:val="20"/>
              </w:rPr>
              <w:t>商务环境的组成部分及对国际商务活动的影响</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 xml:space="preserve">不能正确掌握 </w:t>
            </w:r>
            <w:r>
              <w:rPr>
                <w:rFonts w:hint="eastAsia" w:ascii="宋体" w:hAnsi="宋体" w:eastAsia="宋体"/>
              </w:rPr>
              <w:t>国际</w:t>
            </w:r>
            <w:r>
              <w:rPr>
                <w:rFonts w:hint="eastAsia" w:ascii="宋体" w:hAnsi="宋体" w:eastAsia="宋体" w:cs="宋体"/>
                <w:szCs w:val="20"/>
              </w:rPr>
              <w:t>商务环境的组成部分及对国际商务活动的影响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83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非常准确、深入地理解</w:t>
            </w:r>
            <w:r>
              <w:rPr>
                <w:rFonts w:hint="eastAsia" w:ascii="宋体" w:hAnsi="宋体" w:eastAsia="宋体" w:cs="宋体"/>
              </w:rPr>
              <w:t>国际企业战略和组织结构的内涵及选择方法</w:t>
            </w:r>
          </w:p>
        </w:tc>
        <w:tc>
          <w:tcPr>
            <w:tcW w:w="19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比较准确、深入地理解</w:t>
            </w:r>
            <w:r>
              <w:rPr>
                <w:rFonts w:hint="eastAsia" w:ascii="宋体" w:hAnsi="宋体" w:eastAsia="宋体" w:cs="宋体"/>
              </w:rPr>
              <w:t>国际企业战略和组织结构的内涵及选择方法</w:t>
            </w:r>
            <w:r>
              <w:rPr>
                <w:rFonts w:hint="eastAsia" w:ascii="宋体" w:hAnsi="宋体" w:eastAsia="宋体" w:cs="宋体"/>
                <w:bCs/>
                <w:szCs w:val="20"/>
              </w:rPr>
              <w:t xml:space="preserve"> </w:t>
            </w:r>
          </w:p>
        </w:tc>
        <w:tc>
          <w:tcPr>
            <w:tcW w:w="198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cs="宋体"/>
                <w:bCs/>
                <w:szCs w:val="20"/>
              </w:rPr>
              <w:t xml:space="preserve">对 </w:t>
            </w:r>
            <w:r>
              <w:rPr>
                <w:rFonts w:hint="eastAsia" w:ascii="宋体" w:hAnsi="宋体" w:eastAsia="宋体" w:cs="宋体"/>
              </w:rPr>
              <w:t>国际企业战略和组织结构的内涵及选择方法的</w:t>
            </w:r>
            <w:r>
              <w:rPr>
                <w:rFonts w:hint="eastAsia" w:ascii="宋体" w:hAnsi="宋体" w:eastAsia="宋体" w:cs="宋体"/>
                <w:bCs/>
                <w:szCs w:val="20"/>
              </w:rPr>
              <w:t>理解较为准确，但不够深入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基本正确地理解</w:t>
            </w:r>
            <w:r>
              <w:rPr>
                <w:rFonts w:hint="eastAsia" w:ascii="宋体" w:hAnsi="宋体" w:eastAsia="宋体" w:cs="宋体"/>
                <w:bCs/>
                <w:szCs w:val="20"/>
              </w:rPr>
              <w:t xml:space="preserve"> </w:t>
            </w:r>
            <w:r>
              <w:rPr>
                <w:rFonts w:hint="eastAsia" w:ascii="宋体" w:hAnsi="宋体" w:eastAsia="宋体" w:cs="宋体"/>
              </w:rPr>
              <w:t>国际企业战略和组织结构的内涵及选择方法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不能正确理解</w:t>
            </w:r>
            <w:r>
              <w:rPr>
                <w:rFonts w:hint="eastAsia" w:ascii="宋体" w:hAnsi="宋体" w:eastAsia="宋体" w:cs="宋体"/>
                <w:bCs/>
                <w:szCs w:val="20"/>
              </w:rPr>
              <w:t xml:space="preserve"> </w:t>
            </w:r>
            <w:r>
              <w:rPr>
                <w:rFonts w:hint="eastAsia" w:ascii="宋体" w:hAnsi="宋体" w:eastAsia="宋体" w:cs="宋体"/>
              </w:rPr>
              <w:t>国际企业战略和组织结构的内涵及选择方法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83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非常全面、准确地掌握</w:t>
            </w:r>
            <w:r>
              <w:rPr>
                <w:rFonts w:hint="eastAsia" w:ascii="宋体" w:hAnsi="宋体" w:eastAsia="宋体" w:cs="宋体"/>
              </w:rPr>
              <w:t>目标市场选择方法和国际市场的进入方式</w:t>
            </w:r>
          </w:p>
        </w:tc>
        <w:tc>
          <w:tcPr>
            <w:tcW w:w="19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比较全面、准确地掌握</w:t>
            </w:r>
            <w:r>
              <w:rPr>
                <w:rFonts w:hint="eastAsia" w:ascii="宋体" w:hAnsi="宋体" w:eastAsia="宋体" w:cs="宋体"/>
              </w:rPr>
              <w:t>目标市场选择方法和国际市场的进入方式</w:t>
            </w:r>
          </w:p>
        </w:tc>
        <w:tc>
          <w:tcPr>
            <w:tcW w:w="198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对</w:t>
            </w:r>
            <w:r>
              <w:rPr>
                <w:rFonts w:hint="eastAsia" w:ascii="宋体" w:hAnsi="宋体" w:eastAsia="宋体" w:cs="宋体"/>
              </w:rPr>
              <w:t>目标市场选择方法和国际市场的进入方式</w:t>
            </w:r>
            <w:r>
              <w:rPr>
                <w:rFonts w:hint="eastAsia" w:ascii="宋体" w:hAnsi="宋体" w:eastAsia="宋体"/>
                <w:szCs w:val="21"/>
              </w:rPr>
              <w:t>掌握较为准确，但不够全面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基本正确地掌握</w:t>
            </w:r>
            <w:r>
              <w:rPr>
                <w:rFonts w:hint="eastAsia" w:ascii="宋体" w:hAnsi="宋体" w:eastAsia="宋体" w:cs="宋体"/>
              </w:rPr>
              <w:t>目标市场选择方法和国际市场的进入方式</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宋体" w:hAnsi="宋体" w:eastAsia="宋体"/>
                <w:szCs w:val="21"/>
              </w:rPr>
            </w:pPr>
            <w:r>
              <w:rPr>
                <w:rFonts w:hint="eastAsia" w:ascii="宋体" w:hAnsi="宋体" w:eastAsia="宋体"/>
                <w:szCs w:val="21"/>
              </w:rPr>
              <w:t>不能正确掌握</w:t>
            </w:r>
            <w:r>
              <w:rPr>
                <w:rFonts w:hint="eastAsia" w:ascii="宋体" w:hAnsi="宋体" w:eastAsia="宋体" w:cs="宋体"/>
              </w:rPr>
              <w:t>目标市场选择方法和国际市场的进入方式</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Garamond">
    <w:panose1 w:val="02020404030301010803"/>
    <w:charset w:val="00"/>
    <w:family w:val="roman"/>
    <w:pitch w:val="default"/>
    <w:sig w:usb0="00000287" w:usb1="00000000" w:usb2="00000000" w:usb3="00000000" w:csb0="0000009F" w:csb1="DFD70000"/>
  </w:font>
  <w:font w:name="TimesNewRomanPSMT">
    <w:altName w:val="MS Gothic"/>
    <w:panose1 w:val="00000000000000000000"/>
    <w:charset w:val="80"/>
    <w:family w:val="auto"/>
    <w:pitch w:val="default"/>
    <w:sig w:usb0="00000000" w:usb1="00000000" w:usb2="00000001" w:usb3="00000000" w:csb0="400001BF" w:csb1="DFF70000"/>
  </w:font>
  <w:font w:name="等线 Light">
    <w:altName w:val="宋体"/>
    <w:panose1 w:val="02010600030101010101"/>
    <w:charset w:val="86"/>
    <w:family w:val="auto"/>
    <w:pitch w:val="default"/>
    <w:sig w:usb0="00000000" w:usb1="00000000" w:usb2="00000016" w:usb3="00000000" w:csb0="0004000F"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3E9E"/>
    <w:rsid w:val="00006276"/>
    <w:rsid w:val="00022CBB"/>
    <w:rsid w:val="000335DE"/>
    <w:rsid w:val="00046935"/>
    <w:rsid w:val="00047E83"/>
    <w:rsid w:val="00062C8D"/>
    <w:rsid w:val="00077A5F"/>
    <w:rsid w:val="00092B77"/>
    <w:rsid w:val="000D25E5"/>
    <w:rsid w:val="000E0191"/>
    <w:rsid w:val="000E6E53"/>
    <w:rsid w:val="000F054A"/>
    <w:rsid w:val="00124E55"/>
    <w:rsid w:val="00130030"/>
    <w:rsid w:val="0015126A"/>
    <w:rsid w:val="00170220"/>
    <w:rsid w:val="00183F1F"/>
    <w:rsid w:val="001D5803"/>
    <w:rsid w:val="001E4C1E"/>
    <w:rsid w:val="001E5724"/>
    <w:rsid w:val="00201E4D"/>
    <w:rsid w:val="00211FDC"/>
    <w:rsid w:val="00214362"/>
    <w:rsid w:val="00242673"/>
    <w:rsid w:val="00251EFA"/>
    <w:rsid w:val="002555F7"/>
    <w:rsid w:val="00260EF0"/>
    <w:rsid w:val="00285327"/>
    <w:rsid w:val="002A7568"/>
    <w:rsid w:val="002B569D"/>
    <w:rsid w:val="002D334E"/>
    <w:rsid w:val="00313A87"/>
    <w:rsid w:val="003221DE"/>
    <w:rsid w:val="00322986"/>
    <w:rsid w:val="003404B2"/>
    <w:rsid w:val="0034254B"/>
    <w:rsid w:val="00357502"/>
    <w:rsid w:val="00385453"/>
    <w:rsid w:val="0038665C"/>
    <w:rsid w:val="0039637C"/>
    <w:rsid w:val="003A07B0"/>
    <w:rsid w:val="003A1301"/>
    <w:rsid w:val="003B7789"/>
    <w:rsid w:val="003D7A0E"/>
    <w:rsid w:val="003E62F2"/>
    <w:rsid w:val="003F477F"/>
    <w:rsid w:val="004070CF"/>
    <w:rsid w:val="004E438E"/>
    <w:rsid w:val="00512A12"/>
    <w:rsid w:val="00516860"/>
    <w:rsid w:val="00537F4B"/>
    <w:rsid w:val="005763F5"/>
    <w:rsid w:val="00583748"/>
    <w:rsid w:val="00597F18"/>
    <w:rsid w:val="005A0378"/>
    <w:rsid w:val="005B118F"/>
    <w:rsid w:val="005B212D"/>
    <w:rsid w:val="005D6C25"/>
    <w:rsid w:val="005E09DB"/>
    <w:rsid w:val="00600D84"/>
    <w:rsid w:val="00644D97"/>
    <w:rsid w:val="00650BD3"/>
    <w:rsid w:val="0065442F"/>
    <w:rsid w:val="00655708"/>
    <w:rsid w:val="00665621"/>
    <w:rsid w:val="00670A72"/>
    <w:rsid w:val="00673A9B"/>
    <w:rsid w:val="00687BFA"/>
    <w:rsid w:val="006A7734"/>
    <w:rsid w:val="006B1EDD"/>
    <w:rsid w:val="006B4CB5"/>
    <w:rsid w:val="006E18DF"/>
    <w:rsid w:val="006E4F82"/>
    <w:rsid w:val="006E5BFE"/>
    <w:rsid w:val="006F5656"/>
    <w:rsid w:val="006F64C9"/>
    <w:rsid w:val="00731377"/>
    <w:rsid w:val="00733111"/>
    <w:rsid w:val="00762E31"/>
    <w:rsid w:val="007639A2"/>
    <w:rsid w:val="00771C18"/>
    <w:rsid w:val="00796FE1"/>
    <w:rsid w:val="007A43F9"/>
    <w:rsid w:val="007C08F9"/>
    <w:rsid w:val="007C379D"/>
    <w:rsid w:val="007C62ED"/>
    <w:rsid w:val="007E39E3"/>
    <w:rsid w:val="007E4C6B"/>
    <w:rsid w:val="007F466B"/>
    <w:rsid w:val="007F56A7"/>
    <w:rsid w:val="00801103"/>
    <w:rsid w:val="008128AD"/>
    <w:rsid w:val="00815E68"/>
    <w:rsid w:val="00824CB1"/>
    <w:rsid w:val="00826A47"/>
    <w:rsid w:val="00831FA2"/>
    <w:rsid w:val="008372E7"/>
    <w:rsid w:val="00850B10"/>
    <w:rsid w:val="00853242"/>
    <w:rsid w:val="008560E2"/>
    <w:rsid w:val="0086511A"/>
    <w:rsid w:val="00883667"/>
    <w:rsid w:val="00886EBF"/>
    <w:rsid w:val="00892EEB"/>
    <w:rsid w:val="008B12D8"/>
    <w:rsid w:val="008B585E"/>
    <w:rsid w:val="008E7B11"/>
    <w:rsid w:val="008F0989"/>
    <w:rsid w:val="00902A4D"/>
    <w:rsid w:val="00902F27"/>
    <w:rsid w:val="00905E13"/>
    <w:rsid w:val="0091177D"/>
    <w:rsid w:val="00914DEB"/>
    <w:rsid w:val="00931860"/>
    <w:rsid w:val="00940E1E"/>
    <w:rsid w:val="00945851"/>
    <w:rsid w:val="00953C0B"/>
    <w:rsid w:val="00967C78"/>
    <w:rsid w:val="00975FBF"/>
    <w:rsid w:val="009A3DEA"/>
    <w:rsid w:val="009A7600"/>
    <w:rsid w:val="009E5CD1"/>
    <w:rsid w:val="00A03BBD"/>
    <w:rsid w:val="00A1313E"/>
    <w:rsid w:val="00A226E8"/>
    <w:rsid w:val="00A61EFD"/>
    <w:rsid w:val="00A87C51"/>
    <w:rsid w:val="00A95B2B"/>
    <w:rsid w:val="00AA3077"/>
    <w:rsid w:val="00AA4570"/>
    <w:rsid w:val="00AA630A"/>
    <w:rsid w:val="00AC3D24"/>
    <w:rsid w:val="00AC70D4"/>
    <w:rsid w:val="00AE39EE"/>
    <w:rsid w:val="00AE3D1A"/>
    <w:rsid w:val="00B03909"/>
    <w:rsid w:val="00B13ABF"/>
    <w:rsid w:val="00B17FE4"/>
    <w:rsid w:val="00B200C6"/>
    <w:rsid w:val="00B21E99"/>
    <w:rsid w:val="00B40ECD"/>
    <w:rsid w:val="00B4346E"/>
    <w:rsid w:val="00B45EFB"/>
    <w:rsid w:val="00B6153B"/>
    <w:rsid w:val="00B6695F"/>
    <w:rsid w:val="00BA23F0"/>
    <w:rsid w:val="00BA5048"/>
    <w:rsid w:val="00BC5164"/>
    <w:rsid w:val="00BC6B7C"/>
    <w:rsid w:val="00BE327E"/>
    <w:rsid w:val="00BF1393"/>
    <w:rsid w:val="00BF5351"/>
    <w:rsid w:val="00C00798"/>
    <w:rsid w:val="00C26866"/>
    <w:rsid w:val="00C31A09"/>
    <w:rsid w:val="00C54636"/>
    <w:rsid w:val="00C87A25"/>
    <w:rsid w:val="00CA53B2"/>
    <w:rsid w:val="00CF0881"/>
    <w:rsid w:val="00CF30C5"/>
    <w:rsid w:val="00D02A2E"/>
    <w:rsid w:val="00D02F99"/>
    <w:rsid w:val="00D11F41"/>
    <w:rsid w:val="00D13271"/>
    <w:rsid w:val="00D14471"/>
    <w:rsid w:val="00D1543E"/>
    <w:rsid w:val="00D251F5"/>
    <w:rsid w:val="00D417A1"/>
    <w:rsid w:val="00D41C6E"/>
    <w:rsid w:val="00D504B7"/>
    <w:rsid w:val="00D552B7"/>
    <w:rsid w:val="00D715F7"/>
    <w:rsid w:val="00D761C0"/>
    <w:rsid w:val="00DA07AB"/>
    <w:rsid w:val="00DD7B5F"/>
    <w:rsid w:val="00DE7849"/>
    <w:rsid w:val="00E05E8B"/>
    <w:rsid w:val="00E07311"/>
    <w:rsid w:val="00E366AB"/>
    <w:rsid w:val="00E45D60"/>
    <w:rsid w:val="00E64B1F"/>
    <w:rsid w:val="00E65E43"/>
    <w:rsid w:val="00E76E34"/>
    <w:rsid w:val="00EB3943"/>
    <w:rsid w:val="00EC4F6E"/>
    <w:rsid w:val="00ED3D94"/>
    <w:rsid w:val="00ED7F81"/>
    <w:rsid w:val="00F11A14"/>
    <w:rsid w:val="00F55585"/>
    <w:rsid w:val="00F56396"/>
    <w:rsid w:val="00F62A49"/>
    <w:rsid w:val="00F67822"/>
    <w:rsid w:val="00F95C91"/>
    <w:rsid w:val="00FA6742"/>
    <w:rsid w:val="00FB77A1"/>
    <w:rsid w:val="00FC24B5"/>
    <w:rsid w:val="00FE21F5"/>
    <w:rsid w:val="00FF28EA"/>
    <w:rsid w:val="020B7729"/>
    <w:rsid w:val="032D64CB"/>
    <w:rsid w:val="08E94BE9"/>
    <w:rsid w:val="0B861E6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纯文本 字符"/>
    <w:basedOn w:val="6"/>
    <w:link w:val="2"/>
    <w:qFormat/>
    <w:uiPriority w:val="99"/>
    <w:rPr>
      <w:rFonts w:ascii="宋体" w:hAnsi="Courier New" w:eastAsia="宋体" w:cs="Times New Roman"/>
      <w:szCs w:val="20"/>
    </w:r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批注框文本 字符"/>
    <w:basedOn w:val="6"/>
    <w:link w:val="3"/>
    <w:semiHidden/>
    <w:qFormat/>
    <w:uiPriority w:val="99"/>
    <w:rPr>
      <w:sz w:val="18"/>
      <w:szCs w:val="18"/>
    </w:rPr>
  </w:style>
  <w:style w:type="paragraph" w:customStyle="1" w:styleId="1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List Paragraph"/>
    <w:basedOn w:val="1"/>
    <w:qFormat/>
    <w:uiPriority w:val="34"/>
    <w:pPr>
      <w:ind w:firstLine="420" w:firstLineChars="200"/>
    </w:pPr>
  </w:style>
  <w:style w:type="paragraph" w:customStyle="1" w:styleId="15">
    <w:name w:val="Readings"/>
    <w:basedOn w:val="1"/>
    <w:uiPriority w:val="0"/>
    <w:pPr>
      <w:tabs>
        <w:tab w:val="left" w:pos="720"/>
        <w:tab w:val="left" w:pos="1440"/>
        <w:tab w:val="left" w:pos="2160"/>
        <w:tab w:val="left" w:pos="2880"/>
      </w:tabs>
      <w:jc w:val="left"/>
    </w:pPr>
    <w:rPr>
      <w:rFonts w:ascii="Garamond" w:hAnsi="Garamond" w:eastAsia="Times New Roman" w:cs="Times New Roman"/>
      <w:b/>
      <w:snapToGrid w:val="0"/>
      <w:kern w:val="0"/>
      <w:sz w:val="24"/>
      <w:szCs w:val="20"/>
    </w:rPr>
  </w:style>
  <w:style w:type="paragraph" w:customStyle="1" w:styleId="16">
    <w:name w:val="Session"/>
    <w:basedOn w:val="1"/>
    <w:uiPriority w:val="0"/>
    <w:pPr>
      <w:tabs>
        <w:tab w:val="left" w:pos="720"/>
        <w:tab w:val="left" w:pos="1440"/>
        <w:tab w:val="left" w:pos="2160"/>
        <w:tab w:val="left" w:pos="2880"/>
      </w:tabs>
      <w:spacing w:after="240"/>
    </w:pPr>
    <w:rPr>
      <w:rFonts w:ascii="Times New Roman" w:hAnsi="Times New Roman" w:eastAsia="宋体" w:cs="Times New Roman"/>
      <w:b/>
      <w:snapToGrid w:val="0"/>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830</Words>
  <Characters>4735</Characters>
  <Lines>39</Lines>
  <Paragraphs>11</Paragraphs>
  <TotalTime>0</TotalTime>
  <ScaleCrop>false</ScaleCrop>
  <LinksUpToDate>false</LinksUpToDate>
  <CharactersWithSpaces>5554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2020-12-08T16:33:00Z</dcterms:created>
  <dc:creator>Windows User</dc:creator>
  <cp:lastModifiedBy>poo</cp:lastModifiedBy>
  <cp:lastPrinted>2020-12-24T15:17:00Z</cp:lastPrinted>
  <dcterms:modified xsi:type="dcterms:W3CDTF">2023-08-24T00:59:25Z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