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B7BDC" w14:textId="03A7D842" w:rsidR="00C22623" w:rsidRDefault="00000000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440C06">
        <w:rPr>
          <w:rFonts w:ascii="黑体" w:eastAsia="黑体" w:hAnsi="黑体" w:hint="eastAsia"/>
          <w:sz w:val="32"/>
          <w:szCs w:val="32"/>
        </w:rPr>
        <w:t>财税理论与政策学术讲座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14:paraId="73CB86FA" w14:textId="77777777" w:rsidR="00C22623" w:rsidRDefault="00000000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C22623" w14:paraId="074F5F0C" w14:textId="77777777">
        <w:trPr>
          <w:jc w:val="center"/>
        </w:trPr>
        <w:tc>
          <w:tcPr>
            <w:tcW w:w="1135" w:type="dxa"/>
            <w:vAlign w:val="center"/>
          </w:tcPr>
          <w:p w14:paraId="62061FC7" w14:textId="77777777" w:rsidR="00C22623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1FFDF1FB" w14:textId="73A3C4F0" w:rsidR="00C22623" w:rsidRDefault="00C115AC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 w:rsidRPr="00C115AC">
              <w:rPr>
                <w:rFonts w:ascii="宋体" w:eastAsia="宋体" w:hAnsi="宋体" w:cs="宋体"/>
                <w:szCs w:val="21"/>
              </w:rPr>
              <w:t>Academic lecture on fiscal and taxation theory and policy</w:t>
            </w:r>
          </w:p>
        </w:tc>
        <w:tc>
          <w:tcPr>
            <w:tcW w:w="1134" w:type="dxa"/>
            <w:vAlign w:val="center"/>
          </w:tcPr>
          <w:p w14:paraId="6C38F81B" w14:textId="77777777" w:rsidR="00C22623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6093206A" w14:textId="786636FB" w:rsidR="00C22623" w:rsidRPr="00577FC8" w:rsidRDefault="00577FC8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 w:rsidRPr="00577FC8">
              <w:rPr>
                <w:rFonts w:ascii="宋体" w:eastAsia="宋体" w:hAnsi="宋体" w:cs="宋体" w:hint="eastAsia"/>
                <w:szCs w:val="21"/>
              </w:rPr>
              <w:t>R</w:t>
            </w:r>
            <w:r w:rsidRPr="00577FC8">
              <w:rPr>
                <w:rFonts w:ascii="宋体" w:eastAsia="宋体" w:hAnsi="宋体" w:cs="宋体"/>
                <w:szCs w:val="21"/>
              </w:rPr>
              <w:t>EVE1006</w:t>
            </w:r>
          </w:p>
        </w:tc>
      </w:tr>
      <w:tr w:rsidR="00C22623" w14:paraId="75853807" w14:textId="77777777">
        <w:trPr>
          <w:jc w:val="center"/>
        </w:trPr>
        <w:tc>
          <w:tcPr>
            <w:tcW w:w="1135" w:type="dxa"/>
            <w:vAlign w:val="center"/>
          </w:tcPr>
          <w:p w14:paraId="0AFE0F5A" w14:textId="77777777" w:rsidR="00C22623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4F9FA7D1" w14:textId="04C58031" w:rsidR="00C22623" w:rsidRPr="00A90FA7" w:rsidRDefault="00000000" w:rsidP="003B1BEB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 w:rsidRPr="00A90FA7">
              <w:rPr>
                <w:rFonts w:ascii="宋体" w:eastAsia="宋体" w:hAnsi="宋体" w:cs="宋体" w:hint="eastAsia"/>
                <w:szCs w:val="21"/>
              </w:rPr>
              <w:t>专业</w:t>
            </w:r>
            <w:r w:rsidR="00A90FA7" w:rsidRPr="00A90FA7">
              <w:rPr>
                <w:rFonts w:ascii="宋体" w:eastAsia="宋体" w:hAnsi="宋体" w:cs="宋体" w:hint="eastAsia"/>
                <w:szCs w:val="21"/>
              </w:rPr>
              <w:t>选</w:t>
            </w:r>
            <w:r w:rsidRPr="00A90FA7">
              <w:rPr>
                <w:rFonts w:ascii="宋体" w:eastAsia="宋体" w:hAnsi="宋体" w:cs="宋体" w:hint="eastAsia"/>
                <w:szCs w:val="21"/>
              </w:rPr>
              <w:t>修课程</w:t>
            </w:r>
          </w:p>
        </w:tc>
        <w:tc>
          <w:tcPr>
            <w:tcW w:w="1134" w:type="dxa"/>
            <w:vAlign w:val="center"/>
          </w:tcPr>
          <w:p w14:paraId="3AF5D8A3" w14:textId="77777777" w:rsidR="00C22623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0484CBA5" w14:textId="4ED0535F" w:rsidR="00C22623" w:rsidRDefault="00440C06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财政</w:t>
            </w:r>
            <w:r w:rsidR="00E321A5">
              <w:rPr>
                <w:rFonts w:ascii="宋体" w:eastAsia="宋体" w:hAnsi="宋体" w:cs="宋体" w:hint="eastAsia"/>
                <w:szCs w:val="21"/>
              </w:rPr>
              <w:t>学</w:t>
            </w:r>
            <w:r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</w:tr>
      <w:tr w:rsidR="00C22623" w14:paraId="2B357AC4" w14:textId="77777777">
        <w:trPr>
          <w:jc w:val="center"/>
        </w:trPr>
        <w:tc>
          <w:tcPr>
            <w:tcW w:w="1135" w:type="dxa"/>
            <w:vAlign w:val="center"/>
          </w:tcPr>
          <w:p w14:paraId="12C36280" w14:textId="77777777" w:rsidR="00C22623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6CA68903" w14:textId="6F58D302" w:rsidR="00C22623" w:rsidRPr="00A90FA7" w:rsidRDefault="00A90FA7" w:rsidP="003B1BEB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 w:rsidRPr="00A90FA7">
              <w:rPr>
                <w:rFonts w:ascii="宋体" w:eastAsia="宋体" w:hAnsi="宋体" w:cs="宋体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4BE320FD" w14:textId="77777777" w:rsidR="00C22623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   时</w:t>
            </w:r>
          </w:p>
        </w:tc>
        <w:tc>
          <w:tcPr>
            <w:tcW w:w="2744" w:type="dxa"/>
            <w:vAlign w:val="center"/>
          </w:tcPr>
          <w:p w14:paraId="63756F23" w14:textId="30E5CE7F" w:rsidR="00C22623" w:rsidRDefault="00A90FA7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36</w:t>
            </w:r>
          </w:p>
        </w:tc>
      </w:tr>
      <w:tr w:rsidR="00C22623" w14:paraId="2A67DD7A" w14:textId="77777777">
        <w:trPr>
          <w:jc w:val="center"/>
        </w:trPr>
        <w:tc>
          <w:tcPr>
            <w:tcW w:w="1135" w:type="dxa"/>
            <w:vAlign w:val="center"/>
          </w:tcPr>
          <w:p w14:paraId="3DB37E01" w14:textId="77777777" w:rsidR="00C22623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29F5CD2C" w14:textId="56025A07" w:rsidR="00C22623" w:rsidRPr="003B1BEB" w:rsidRDefault="0047079A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47079A">
              <w:rPr>
                <w:rFonts w:ascii="宋体" w:eastAsia="宋体" w:hAnsi="宋体" w:hint="eastAsia"/>
              </w:rPr>
              <w:t>陈忠</w:t>
            </w:r>
            <w:r w:rsidR="00456988">
              <w:rPr>
                <w:rFonts w:ascii="宋体" w:eastAsia="宋体" w:hAnsi="宋体" w:hint="eastAsia"/>
              </w:rPr>
              <w:t>、李伟</w:t>
            </w:r>
          </w:p>
        </w:tc>
        <w:tc>
          <w:tcPr>
            <w:tcW w:w="1134" w:type="dxa"/>
            <w:vAlign w:val="center"/>
          </w:tcPr>
          <w:p w14:paraId="55CCDE89" w14:textId="77777777" w:rsidR="00C22623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2F820789" w14:textId="6F5420CE" w:rsidR="00C22623" w:rsidRDefault="003B1BEB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</w:rPr>
              <w:t>202</w:t>
            </w:r>
            <w:r w:rsidR="00065379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.</w:t>
            </w:r>
            <w:r w:rsidR="00065379">
              <w:rPr>
                <w:rFonts w:ascii="宋体" w:eastAsia="宋体" w:hAnsi="宋体" w:hint="eastAsia"/>
              </w:rPr>
              <w:t>8</w:t>
            </w:r>
          </w:p>
        </w:tc>
      </w:tr>
      <w:tr w:rsidR="00C22623" w14:paraId="156B71C4" w14:textId="77777777">
        <w:trPr>
          <w:jc w:val="center"/>
        </w:trPr>
        <w:tc>
          <w:tcPr>
            <w:tcW w:w="1135" w:type="dxa"/>
            <w:vAlign w:val="center"/>
          </w:tcPr>
          <w:p w14:paraId="6DA84877" w14:textId="77777777" w:rsidR="00C22623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6BF0F171" w14:textId="23645710" w:rsidR="00C22623" w:rsidRPr="001C3747" w:rsidRDefault="001C3747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 w:rsidRPr="001C3747">
              <w:rPr>
                <w:rFonts w:ascii="宋体" w:eastAsia="宋体" w:hAnsi="宋体" w:cs="宋体" w:hint="eastAsia"/>
                <w:szCs w:val="21"/>
              </w:rPr>
              <w:t>何杨</w:t>
            </w:r>
            <w:r w:rsidRPr="001C3747">
              <w:rPr>
                <w:rFonts w:ascii="宋体" w:eastAsia="宋体" w:hAnsi="宋体" w:cs="宋体"/>
                <w:szCs w:val="21"/>
              </w:rPr>
              <w:t xml:space="preserve">. </w:t>
            </w:r>
            <w:r>
              <w:rPr>
                <w:rFonts w:ascii="宋体" w:eastAsia="宋体" w:hAnsi="宋体" w:cs="宋体" w:hint="eastAsia"/>
                <w:szCs w:val="21"/>
              </w:rPr>
              <w:t>《</w:t>
            </w:r>
            <w:r w:rsidRPr="001C3747">
              <w:rPr>
                <w:rFonts w:ascii="宋体" w:eastAsia="宋体" w:hAnsi="宋体" w:cs="宋体"/>
                <w:szCs w:val="21"/>
              </w:rPr>
              <w:t>财政学前沿文献导读</w:t>
            </w:r>
            <w:r>
              <w:rPr>
                <w:rFonts w:ascii="宋体" w:eastAsia="宋体" w:hAnsi="宋体" w:cs="宋体" w:hint="eastAsia"/>
                <w:szCs w:val="21"/>
              </w:rPr>
              <w:t>》，</w:t>
            </w:r>
            <w:r w:rsidRPr="001C3747">
              <w:rPr>
                <w:rFonts w:ascii="宋体" w:eastAsia="宋体" w:hAnsi="宋体" w:cs="宋体"/>
                <w:szCs w:val="21"/>
              </w:rPr>
              <w:t xml:space="preserve"> 中国财政经济出版社，2020年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</w:tr>
    </w:tbl>
    <w:p w14:paraId="55F82D77" w14:textId="77777777" w:rsidR="00C22623" w:rsidRDefault="00000000">
      <w:pPr>
        <w:pStyle w:val="a3"/>
        <w:spacing w:beforeLines="50" w:before="156" w:afterLines="50" w:after="156"/>
        <w:ind w:firstLineChars="200" w:firstLine="562"/>
        <w:rPr>
          <w:rFonts w:eastAsia="黑体"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2CF51017" w14:textId="77777777" w:rsidR="00C22623" w:rsidRPr="005432CD" w:rsidRDefault="00000000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5432CD">
        <w:rPr>
          <w:rFonts w:ascii="黑体" w:eastAsia="黑体" w:hAnsi="黑体" w:cs="宋体" w:hint="eastAsia"/>
          <w:sz w:val="24"/>
          <w:szCs w:val="24"/>
        </w:rPr>
        <w:t>（一）</w:t>
      </w:r>
      <w:r w:rsidRPr="005432CD">
        <w:rPr>
          <w:rFonts w:ascii="黑体" w:eastAsia="黑体" w:hAnsi="黑体" w:cs="宋体" w:hint="eastAsia"/>
          <w:b/>
          <w:sz w:val="24"/>
          <w:szCs w:val="24"/>
        </w:rPr>
        <w:t>总体目标</w:t>
      </w:r>
    </w:p>
    <w:p w14:paraId="10C75506" w14:textId="75DC36C6" w:rsidR="005432CD" w:rsidRDefault="0000000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作为</w:t>
      </w:r>
      <w:r w:rsidR="005432CD">
        <w:rPr>
          <w:rFonts w:hAnsi="宋体" w:cs="宋体" w:hint="eastAsia"/>
        </w:rPr>
        <w:t>财政学领域</w:t>
      </w:r>
      <w:r>
        <w:rPr>
          <w:rFonts w:hAnsi="宋体" w:cs="宋体" w:hint="eastAsia"/>
        </w:rPr>
        <w:t>的</w:t>
      </w:r>
      <w:r w:rsidR="005432CD">
        <w:rPr>
          <w:rFonts w:hAnsi="宋体" w:cs="宋体" w:hint="eastAsia"/>
        </w:rPr>
        <w:t>扩展性</w:t>
      </w:r>
      <w:r>
        <w:rPr>
          <w:rFonts w:hAnsi="宋体" w:cs="宋体" w:hint="eastAsia"/>
        </w:rPr>
        <w:t>课程，本课程旨在让学生</w:t>
      </w:r>
      <w:r w:rsidR="005432CD" w:rsidRPr="005432CD">
        <w:rPr>
          <w:rFonts w:hAnsi="宋体" w:cs="宋体" w:hint="eastAsia"/>
        </w:rPr>
        <w:t>深刻理解财政学的重要理论，并具备将理论用于</w:t>
      </w:r>
      <w:r w:rsidR="005432CD">
        <w:rPr>
          <w:rFonts w:hAnsi="宋体" w:cs="宋体" w:hint="eastAsia"/>
        </w:rPr>
        <w:t>分析和</w:t>
      </w:r>
      <w:r w:rsidR="005432CD" w:rsidRPr="005432CD">
        <w:rPr>
          <w:rFonts w:hAnsi="宋体" w:cs="宋体" w:hint="eastAsia"/>
        </w:rPr>
        <w:t>解决实际问题的能力</w:t>
      </w:r>
      <w:r w:rsidR="005432CD">
        <w:rPr>
          <w:rFonts w:hAnsi="宋体" w:cs="宋体" w:hint="eastAsia"/>
        </w:rPr>
        <w:t>，</w:t>
      </w:r>
      <w:r w:rsidR="005432CD" w:rsidRPr="005432CD">
        <w:rPr>
          <w:rFonts w:hAnsi="宋体" w:cs="宋体" w:hint="eastAsia"/>
        </w:rPr>
        <w:t>培养学生对</w:t>
      </w:r>
      <w:r w:rsidR="005432CD">
        <w:rPr>
          <w:rFonts w:hAnsi="宋体" w:cs="宋体" w:hint="eastAsia"/>
        </w:rPr>
        <w:t>“绿色”预算和</w:t>
      </w:r>
      <w:r w:rsidR="005432CD" w:rsidRPr="005432CD">
        <w:rPr>
          <w:rFonts w:hAnsi="宋体" w:cs="宋体" w:hint="eastAsia"/>
        </w:rPr>
        <w:t>民生预算的理解</w:t>
      </w:r>
      <w:r w:rsidR="005432CD">
        <w:rPr>
          <w:rFonts w:hAnsi="宋体" w:cs="宋体" w:hint="eastAsia"/>
        </w:rPr>
        <w:t>，知晓财政</w:t>
      </w:r>
      <w:r w:rsidR="005432CD" w:rsidRPr="005432CD">
        <w:rPr>
          <w:rFonts w:hAnsi="宋体" w:cs="宋体" w:hint="eastAsia"/>
        </w:rPr>
        <w:t>促进可持续发展</w:t>
      </w:r>
      <w:r w:rsidR="005432CD">
        <w:rPr>
          <w:rFonts w:hAnsi="宋体" w:cs="宋体" w:hint="eastAsia"/>
        </w:rPr>
        <w:t>和民生建设的重要作用，</w:t>
      </w:r>
      <w:r w:rsidR="005432CD" w:rsidRPr="005432CD">
        <w:rPr>
          <w:rFonts w:hAnsi="宋体" w:cs="宋体" w:hint="eastAsia"/>
        </w:rPr>
        <w:t>通过</w:t>
      </w:r>
      <w:r w:rsidR="00C52430">
        <w:rPr>
          <w:rFonts w:hAnsi="宋体" w:cs="宋体" w:hint="eastAsia"/>
        </w:rPr>
        <w:t>课堂</w:t>
      </w:r>
      <w:r w:rsidR="005432CD" w:rsidRPr="005432CD">
        <w:rPr>
          <w:rFonts w:hAnsi="宋体" w:cs="宋体" w:hint="eastAsia"/>
        </w:rPr>
        <w:t>讨论和书面</w:t>
      </w:r>
      <w:r w:rsidR="00275596">
        <w:rPr>
          <w:rFonts w:hAnsi="宋体" w:cs="宋体" w:hint="eastAsia"/>
        </w:rPr>
        <w:t>作业</w:t>
      </w:r>
      <w:r w:rsidR="005432CD" w:rsidRPr="005432CD">
        <w:rPr>
          <w:rFonts w:hAnsi="宋体" w:cs="宋体" w:hint="eastAsia"/>
        </w:rPr>
        <w:t>提升学生的思辨能力与逻辑能力</w:t>
      </w:r>
      <w:r w:rsidR="005432CD">
        <w:rPr>
          <w:rFonts w:hAnsi="宋体" w:cs="宋体" w:hint="eastAsia"/>
        </w:rPr>
        <w:t>。</w:t>
      </w:r>
    </w:p>
    <w:p w14:paraId="00096F50" w14:textId="6CC7162F" w:rsidR="00C22623" w:rsidRDefault="00000000">
      <w:pPr>
        <w:pStyle w:val="a3"/>
        <w:numPr>
          <w:ilvl w:val="0"/>
          <w:numId w:val="1"/>
        </w:numPr>
        <w:spacing w:beforeLines="50" w:before="156" w:afterLines="50" w:after="156"/>
        <w:ind w:firstLineChars="200" w:firstLine="480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课程目标</w:t>
      </w:r>
    </w:p>
    <w:p w14:paraId="271D468E" w14:textId="703E4BDD" w:rsidR="001D396E" w:rsidRDefault="009D603F" w:rsidP="00B31BAC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</w:t>
      </w:r>
      <w:r w:rsidR="001D396E" w:rsidRPr="009D603F">
        <w:rPr>
          <w:rFonts w:hAnsi="宋体" w:cs="宋体"/>
          <w:b/>
        </w:rPr>
        <w:t>1：深刻理解财政学的重要理论，并具备将理论用于解决实际问题的能力</w:t>
      </w:r>
    </w:p>
    <w:p w14:paraId="06EA31B3" w14:textId="6E4AE1CB" w:rsidR="00B31BAC" w:rsidRDefault="00B31BAC" w:rsidP="00B31BAC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1．1</w:t>
      </w:r>
      <w:r w:rsidR="007935B1">
        <w:rPr>
          <w:rFonts w:hAnsi="宋体" w:cs="宋体"/>
        </w:rPr>
        <w:t xml:space="preserve">  </w:t>
      </w:r>
      <w:r w:rsidR="00A16EAC">
        <w:rPr>
          <w:rFonts w:hAnsi="宋体" w:cs="宋体" w:hint="eastAsia"/>
        </w:rPr>
        <w:t>深刻</w:t>
      </w:r>
      <w:r w:rsidR="007935B1" w:rsidRPr="007935B1">
        <w:rPr>
          <w:rFonts w:hAnsi="宋体" w:cs="宋体" w:hint="eastAsia"/>
        </w:rPr>
        <w:t>理解财政学的重要理论</w:t>
      </w:r>
    </w:p>
    <w:p w14:paraId="7CACA95C" w14:textId="16C25737" w:rsidR="00B31BAC" w:rsidRPr="007935B1" w:rsidRDefault="00B31BAC" w:rsidP="007935B1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1．2</w:t>
      </w:r>
      <w:r w:rsidR="007935B1">
        <w:rPr>
          <w:rFonts w:hAnsi="宋体" w:cs="宋体"/>
        </w:rPr>
        <w:t xml:space="preserve">  </w:t>
      </w:r>
      <w:r w:rsidR="007935B1" w:rsidRPr="007935B1">
        <w:rPr>
          <w:rFonts w:hAnsi="宋体" w:cs="宋体" w:hint="eastAsia"/>
        </w:rPr>
        <w:t>将理论用于解决实际问题的能力</w:t>
      </w:r>
    </w:p>
    <w:p w14:paraId="29286D7C" w14:textId="64F8A909" w:rsidR="001D396E" w:rsidRDefault="009D603F" w:rsidP="00B31BAC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</w:t>
      </w:r>
      <w:r w:rsidR="001D396E" w:rsidRPr="009D603F">
        <w:rPr>
          <w:rFonts w:hAnsi="宋体" w:cs="宋体"/>
          <w:b/>
        </w:rPr>
        <w:t>2：培养学生</w:t>
      </w:r>
      <w:bookmarkStart w:id="0" w:name="_Hlk140865123"/>
      <w:r w:rsidR="001D396E" w:rsidRPr="009D603F">
        <w:rPr>
          <w:rFonts w:hAnsi="宋体" w:cs="宋体"/>
          <w:b/>
        </w:rPr>
        <w:t>对财政促进可持续发展以及民生预算的深刻理解</w:t>
      </w:r>
      <w:bookmarkEnd w:id="0"/>
    </w:p>
    <w:p w14:paraId="0E065C35" w14:textId="6A5A27C9" w:rsidR="00B31BAC" w:rsidRDefault="00B31BAC" w:rsidP="00B31BAC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2．1</w:t>
      </w:r>
      <w:r>
        <w:rPr>
          <w:rFonts w:hAnsi="宋体" w:cs="宋体"/>
        </w:rPr>
        <w:t xml:space="preserve">  </w:t>
      </w:r>
      <w:r w:rsidRPr="00B31BAC">
        <w:rPr>
          <w:rFonts w:hAnsi="宋体" w:cs="宋体" w:hint="eastAsia"/>
        </w:rPr>
        <w:t>理解财政促进可持续发展</w:t>
      </w:r>
    </w:p>
    <w:p w14:paraId="6245FD09" w14:textId="4A76DD67" w:rsidR="00B31BAC" w:rsidRPr="00B31BAC" w:rsidRDefault="00B31BAC" w:rsidP="00B31BAC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 xml:space="preserve">2．2 </w:t>
      </w:r>
      <w:r>
        <w:rPr>
          <w:rFonts w:hAnsi="宋体" w:cs="宋体"/>
        </w:rPr>
        <w:t xml:space="preserve"> </w:t>
      </w:r>
      <w:r w:rsidRPr="00B31BAC">
        <w:rPr>
          <w:rFonts w:hAnsi="宋体" w:cs="宋体" w:hint="eastAsia"/>
        </w:rPr>
        <w:t>理解财政促进</w:t>
      </w:r>
      <w:r>
        <w:rPr>
          <w:rFonts w:hAnsi="宋体" w:cs="宋体" w:hint="eastAsia"/>
        </w:rPr>
        <w:t>民生建设和</w:t>
      </w:r>
      <w:r w:rsidRPr="00B31BAC">
        <w:rPr>
          <w:rFonts w:hAnsi="宋体" w:cs="宋体" w:hint="eastAsia"/>
        </w:rPr>
        <w:t>发展</w:t>
      </w:r>
    </w:p>
    <w:p w14:paraId="33E94639" w14:textId="1C6EF2B9" w:rsidR="001D396E" w:rsidRDefault="009D603F" w:rsidP="00B31BAC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</w:t>
      </w:r>
      <w:r w:rsidR="001D396E" w:rsidRPr="009D603F">
        <w:rPr>
          <w:rFonts w:hAnsi="宋体" w:cs="宋体"/>
          <w:b/>
        </w:rPr>
        <w:t>3：通过</w:t>
      </w:r>
      <w:r w:rsidR="00C52430">
        <w:rPr>
          <w:rFonts w:hAnsi="宋体" w:cs="宋体" w:hint="eastAsia"/>
          <w:b/>
        </w:rPr>
        <w:t>课堂</w:t>
      </w:r>
      <w:r w:rsidR="001D396E" w:rsidRPr="009D603F">
        <w:rPr>
          <w:rFonts w:hAnsi="宋体" w:cs="宋体"/>
          <w:b/>
        </w:rPr>
        <w:t>讨论和书面</w:t>
      </w:r>
      <w:r w:rsidR="00275596">
        <w:rPr>
          <w:rFonts w:hAnsi="宋体" w:cs="宋体" w:hint="eastAsia"/>
          <w:b/>
        </w:rPr>
        <w:t>作业</w:t>
      </w:r>
      <w:r w:rsidR="001D396E" w:rsidRPr="009D603F">
        <w:rPr>
          <w:rFonts w:hAnsi="宋体" w:cs="宋体"/>
          <w:b/>
        </w:rPr>
        <w:t>，</w:t>
      </w:r>
      <w:r w:rsidR="00B31BAC">
        <w:rPr>
          <w:rFonts w:hAnsi="宋体" w:cs="宋体" w:hint="eastAsia"/>
          <w:b/>
        </w:rPr>
        <w:t>提升</w:t>
      </w:r>
      <w:r w:rsidR="001D396E" w:rsidRPr="009D603F">
        <w:rPr>
          <w:rFonts w:hAnsi="宋体" w:cs="宋体"/>
          <w:b/>
        </w:rPr>
        <w:t>学生的</w:t>
      </w:r>
      <w:r w:rsidR="003E6625">
        <w:rPr>
          <w:rFonts w:hAnsi="宋体" w:cs="宋体" w:hint="eastAsia"/>
          <w:b/>
        </w:rPr>
        <w:t>思辨能力</w:t>
      </w:r>
      <w:r w:rsidR="001D396E" w:rsidRPr="009D603F">
        <w:rPr>
          <w:rFonts w:hAnsi="宋体" w:cs="宋体"/>
          <w:b/>
        </w:rPr>
        <w:t>与</w:t>
      </w:r>
      <w:r w:rsidR="00B31BAC">
        <w:rPr>
          <w:rFonts w:hAnsi="宋体" w:cs="宋体" w:hint="eastAsia"/>
          <w:b/>
        </w:rPr>
        <w:t>逻辑</w:t>
      </w:r>
      <w:r w:rsidR="001D396E" w:rsidRPr="009D603F">
        <w:rPr>
          <w:rFonts w:hAnsi="宋体" w:cs="宋体"/>
          <w:b/>
        </w:rPr>
        <w:t>能力</w:t>
      </w:r>
    </w:p>
    <w:p w14:paraId="156FDFF1" w14:textId="0FDB7A75" w:rsidR="00B31BAC" w:rsidRDefault="00B31BAC" w:rsidP="00C64C2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3．1</w:t>
      </w:r>
      <w:r>
        <w:rPr>
          <w:rFonts w:hAnsi="宋体" w:cs="宋体"/>
        </w:rPr>
        <w:t xml:space="preserve">  </w:t>
      </w:r>
      <w:r w:rsidR="00101DF6" w:rsidRPr="00101DF6">
        <w:rPr>
          <w:rFonts w:hAnsi="宋体" w:cs="宋体" w:hint="eastAsia"/>
        </w:rPr>
        <w:t>提升</w:t>
      </w:r>
      <w:r w:rsidR="00101DF6" w:rsidRPr="00101DF6">
        <w:rPr>
          <w:rFonts w:hAnsi="宋体" w:cs="宋体"/>
        </w:rPr>
        <w:t>学生的</w:t>
      </w:r>
      <w:r w:rsidR="003E6625">
        <w:rPr>
          <w:rFonts w:hAnsi="宋体" w:cs="宋体" w:hint="eastAsia"/>
        </w:rPr>
        <w:t>思辨能力</w:t>
      </w:r>
    </w:p>
    <w:p w14:paraId="56EC0C03" w14:textId="5E2BE46A" w:rsidR="00C22623" w:rsidRDefault="00B31BAC" w:rsidP="00D40AD8">
      <w:pPr>
        <w:pStyle w:val="a3"/>
        <w:spacing w:beforeLines="50" w:before="156" w:afterLines="50" w:after="156"/>
        <w:ind w:firstLineChars="200" w:firstLine="420"/>
        <w:rPr>
          <w:rFonts w:hAnsi="宋体" w:cs="宋体"/>
          <w:bCs/>
        </w:rPr>
      </w:pPr>
      <w:r>
        <w:rPr>
          <w:rFonts w:hAnsi="宋体" w:cs="宋体" w:hint="eastAsia"/>
        </w:rPr>
        <w:t>3．2</w:t>
      </w:r>
      <w:r>
        <w:rPr>
          <w:rFonts w:hAnsi="宋体" w:cs="宋体"/>
        </w:rPr>
        <w:t xml:space="preserve">  </w:t>
      </w:r>
      <w:r w:rsidR="00101DF6" w:rsidRPr="00101DF6">
        <w:rPr>
          <w:rFonts w:hAnsi="宋体" w:cs="宋体" w:hint="eastAsia"/>
          <w:bCs/>
        </w:rPr>
        <w:t>提升</w:t>
      </w:r>
      <w:r w:rsidR="00101DF6" w:rsidRPr="00101DF6">
        <w:rPr>
          <w:rFonts w:hAnsi="宋体" w:cs="宋体"/>
          <w:bCs/>
        </w:rPr>
        <w:t>学生的</w:t>
      </w:r>
      <w:r w:rsidR="00101DF6" w:rsidRPr="00101DF6">
        <w:rPr>
          <w:rFonts w:hAnsi="宋体" w:cs="宋体" w:hint="eastAsia"/>
          <w:bCs/>
        </w:rPr>
        <w:t>逻辑</w:t>
      </w:r>
      <w:r w:rsidR="00101DF6" w:rsidRPr="00101DF6">
        <w:rPr>
          <w:rFonts w:hAnsi="宋体" w:cs="宋体"/>
          <w:bCs/>
        </w:rPr>
        <w:t>能力</w:t>
      </w:r>
    </w:p>
    <w:p w14:paraId="3895B644" w14:textId="77777777" w:rsidR="00C22623" w:rsidRDefault="00000000" w:rsidP="00C52430">
      <w:pPr>
        <w:pStyle w:val="a3"/>
        <w:numPr>
          <w:ilvl w:val="0"/>
          <w:numId w:val="1"/>
        </w:numPr>
        <w:spacing w:beforeLines="100" w:before="312" w:afterLines="50" w:after="156"/>
        <w:ind w:firstLineChars="200" w:firstLine="480"/>
        <w:jc w:val="left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课程目标与毕业要求、课程内容的对应关系</w:t>
      </w:r>
    </w:p>
    <w:p w14:paraId="76823184" w14:textId="7BB28890" w:rsidR="00C52430" w:rsidRDefault="00C52430">
      <w:pPr>
        <w:pStyle w:val="a3"/>
        <w:spacing w:beforeLines="50" w:before="156" w:afterLines="50" w:after="156"/>
        <w:jc w:val="center"/>
        <w:rPr>
          <w:rFonts w:ascii="黑体" w:hAnsi="宋体"/>
          <w:b/>
          <w:bCs/>
          <w:szCs w:val="21"/>
        </w:rPr>
      </w:pPr>
    </w:p>
    <w:p w14:paraId="627E2D1C" w14:textId="6CEDB694" w:rsidR="00C22623" w:rsidRDefault="00000000">
      <w:pPr>
        <w:pStyle w:val="a3"/>
        <w:spacing w:beforeLines="50" w:before="156" w:afterLines="50" w:after="156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lastRenderedPageBreak/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4252"/>
        <w:gridCol w:w="2268"/>
      </w:tblGrid>
      <w:tr w:rsidR="00C22623" w14:paraId="4BC582FB" w14:textId="77777777" w:rsidTr="00880429">
        <w:trPr>
          <w:jc w:val="center"/>
        </w:trPr>
        <w:tc>
          <w:tcPr>
            <w:tcW w:w="1271" w:type="dxa"/>
            <w:vAlign w:val="center"/>
          </w:tcPr>
          <w:p w14:paraId="1D958648" w14:textId="77777777" w:rsidR="00C22623" w:rsidRDefault="0000000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276" w:type="dxa"/>
            <w:vAlign w:val="center"/>
          </w:tcPr>
          <w:p w14:paraId="0C4D3C58" w14:textId="77777777" w:rsidR="00C22623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4252" w:type="dxa"/>
            <w:vAlign w:val="center"/>
          </w:tcPr>
          <w:p w14:paraId="0A10BAB0" w14:textId="77777777" w:rsidR="00C22623" w:rsidRDefault="0000000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268" w:type="dxa"/>
            <w:vAlign w:val="center"/>
          </w:tcPr>
          <w:p w14:paraId="3ED6A6B0" w14:textId="77777777" w:rsidR="00C22623" w:rsidRDefault="0000000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C22623" w14:paraId="37E87C1D" w14:textId="77777777" w:rsidTr="00880429">
        <w:trPr>
          <w:jc w:val="center"/>
        </w:trPr>
        <w:tc>
          <w:tcPr>
            <w:tcW w:w="1271" w:type="dxa"/>
            <w:vMerge w:val="restart"/>
            <w:vAlign w:val="center"/>
          </w:tcPr>
          <w:p w14:paraId="733EB73D" w14:textId="77777777" w:rsidR="00C22623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276" w:type="dxa"/>
            <w:vAlign w:val="center"/>
          </w:tcPr>
          <w:p w14:paraId="48089A1E" w14:textId="77777777" w:rsidR="00C22623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4252" w:type="dxa"/>
            <w:vAlign w:val="center"/>
          </w:tcPr>
          <w:p w14:paraId="53CC5452" w14:textId="038DF343" w:rsidR="00E20D71" w:rsidRDefault="00E20D71">
            <w:pPr>
              <w:pStyle w:val="a3"/>
              <w:spacing w:beforeLines="50" w:before="156" w:afterLines="50" w:after="156"/>
              <w:jc w:val="center"/>
              <w:rPr>
                <w:rFonts w:hAnsi="宋体" w:cs="TimesNewRomanPSMT"/>
                <w:color w:val="000000"/>
                <w:kern w:val="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税收征管的成本与效率；</w:t>
            </w:r>
          </w:p>
          <w:p w14:paraId="791068FA" w14:textId="79DDF9FD" w:rsidR="00C22623" w:rsidRDefault="00A16EAC">
            <w:pPr>
              <w:pStyle w:val="a3"/>
              <w:spacing w:beforeLines="50" w:before="156" w:afterLines="50" w:after="156"/>
              <w:jc w:val="center"/>
              <w:rPr>
                <w:rFonts w:hAnsi="宋体" w:cs="TimesNewRomanPSMT"/>
                <w:color w:val="000000"/>
                <w:kern w:val="0"/>
                <w:szCs w:val="21"/>
              </w:rPr>
            </w:pPr>
            <w:r w:rsidRPr="00C74112">
              <w:rPr>
                <w:rFonts w:hAnsi="宋体" w:cs="TimesNewRomanPSMT" w:hint="eastAsia"/>
                <w:color w:val="000000"/>
                <w:kern w:val="0"/>
                <w:szCs w:val="21"/>
              </w:rPr>
              <w:t>政府干预企业研发创新的理论基础</w:t>
            </w:r>
            <w:r w:rsidR="00A03F70">
              <w:rPr>
                <w:rFonts w:hAnsi="宋体" w:cs="TimesNewRomanPSMT" w:hint="eastAsia"/>
                <w:color w:val="000000"/>
                <w:kern w:val="0"/>
                <w:szCs w:val="21"/>
              </w:rPr>
              <w:t>；</w:t>
            </w:r>
          </w:p>
          <w:p w14:paraId="7ADB0EBD" w14:textId="62A40E1F" w:rsidR="00E20D71" w:rsidRDefault="00E20D71">
            <w:pPr>
              <w:pStyle w:val="a3"/>
              <w:spacing w:beforeLines="50" w:before="156" w:afterLines="50" w:after="156"/>
              <w:jc w:val="center"/>
              <w:rPr>
                <w:rFonts w:hAnsi="宋体" w:cs="TimesNewRomanPSMT"/>
                <w:color w:val="000000"/>
                <w:kern w:val="0"/>
                <w:szCs w:val="21"/>
              </w:rPr>
            </w:pPr>
            <w:r w:rsidRPr="00BA561B">
              <w:rPr>
                <w:rFonts w:hAnsi="宋体" w:cs="宋体" w:hint="eastAsia"/>
                <w:color w:val="000000"/>
                <w:kern w:val="0"/>
                <w:szCs w:val="21"/>
              </w:rPr>
              <w:t>税务部门</w:t>
            </w:r>
            <w:proofErr w:type="gramStart"/>
            <w:r w:rsidRPr="00BA561B">
              <w:rPr>
                <w:rFonts w:hAnsi="宋体" w:cs="宋体" w:hint="eastAsia"/>
                <w:color w:val="000000"/>
                <w:kern w:val="0"/>
                <w:szCs w:val="21"/>
              </w:rPr>
              <w:t>征管非</w:t>
            </w:r>
            <w:proofErr w:type="gramEnd"/>
            <w:r w:rsidRPr="00BA561B">
              <w:rPr>
                <w:rFonts w:hAnsi="宋体" w:cs="宋体" w:hint="eastAsia"/>
                <w:color w:val="000000"/>
                <w:kern w:val="0"/>
                <w:szCs w:val="21"/>
              </w:rPr>
              <w:t>税收入的理论依据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0D0D4D97" w14:textId="28057758" w:rsidR="00A03F70" w:rsidRDefault="00A03F7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公债的优点与缺点</w:t>
            </w:r>
          </w:p>
        </w:tc>
        <w:tc>
          <w:tcPr>
            <w:tcW w:w="2268" w:type="dxa"/>
            <w:vAlign w:val="center"/>
          </w:tcPr>
          <w:p w14:paraId="5266416B" w14:textId="50078AF2" w:rsidR="00C22623" w:rsidRDefault="00065379" w:rsidP="00F80834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</w:rPr>
            </w:pPr>
            <w:r w:rsidRPr="00065379">
              <w:rPr>
                <w:rFonts w:ascii="宋体" w:eastAsia="宋体" w:hAnsi="宋体" w:cs="宋体" w:hint="eastAsia"/>
              </w:rPr>
              <w:t>具备经济学学科及财政税收专业方向的专业性知识</w:t>
            </w:r>
          </w:p>
        </w:tc>
      </w:tr>
      <w:tr w:rsidR="00030C35" w14:paraId="3C31B6E1" w14:textId="77777777" w:rsidTr="00880429">
        <w:trPr>
          <w:trHeight w:val="2366"/>
          <w:jc w:val="center"/>
        </w:trPr>
        <w:tc>
          <w:tcPr>
            <w:tcW w:w="1271" w:type="dxa"/>
            <w:vMerge/>
            <w:vAlign w:val="center"/>
          </w:tcPr>
          <w:p w14:paraId="6CEE40FF" w14:textId="77777777" w:rsidR="00030C35" w:rsidRDefault="00030C3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405606" w14:textId="77777777" w:rsidR="00030C35" w:rsidRDefault="00030C3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4252" w:type="dxa"/>
            <w:vAlign w:val="center"/>
          </w:tcPr>
          <w:p w14:paraId="529A733F" w14:textId="77777777" w:rsidR="00A16EAC" w:rsidRDefault="00A16EAC">
            <w:pPr>
              <w:pStyle w:val="a3"/>
              <w:spacing w:beforeLines="50" w:before="156" w:afterLines="50" w:after="156"/>
              <w:jc w:val="center"/>
              <w:rPr>
                <w:rFonts w:hAnsi="宋体" w:cs="TimesNewRomanPSMT"/>
                <w:color w:val="000000"/>
                <w:kern w:val="0"/>
                <w:szCs w:val="21"/>
              </w:rPr>
            </w:pPr>
            <w:r w:rsidRPr="00A16EAC">
              <w:rPr>
                <w:rFonts w:hAnsi="宋体" w:cs="TimesNewRomanPSMT" w:hint="eastAsia"/>
                <w:color w:val="000000"/>
                <w:kern w:val="0"/>
                <w:szCs w:val="21"/>
              </w:rPr>
              <w:t>公立医院问题与事业单位财政拨款制度；</w:t>
            </w:r>
          </w:p>
          <w:p w14:paraId="1E39AA46" w14:textId="77777777" w:rsidR="00030C35" w:rsidRDefault="00A16EAC">
            <w:pPr>
              <w:pStyle w:val="a3"/>
              <w:spacing w:beforeLines="50" w:before="156" w:afterLines="50" w:after="156"/>
              <w:jc w:val="center"/>
              <w:rPr>
                <w:rFonts w:hAnsi="宋体" w:cs="TimesNewRomanPSMT"/>
                <w:color w:val="000000"/>
                <w:kern w:val="0"/>
                <w:szCs w:val="21"/>
              </w:rPr>
            </w:pPr>
            <w:r w:rsidRPr="00A16EAC">
              <w:rPr>
                <w:rFonts w:hAnsi="宋体" w:cs="TimesNewRomanPSMT"/>
                <w:color w:val="000000"/>
                <w:kern w:val="0"/>
                <w:szCs w:val="21"/>
              </w:rPr>
              <w:t>财政</w:t>
            </w:r>
            <w:r w:rsidR="00880429">
              <w:rPr>
                <w:rFonts w:hAnsi="宋体" w:cs="TimesNewRomanPSMT" w:hint="eastAsia"/>
                <w:color w:val="000000"/>
                <w:kern w:val="0"/>
                <w:szCs w:val="21"/>
              </w:rPr>
              <w:t>学</w:t>
            </w:r>
            <w:r w:rsidRPr="00A16EAC">
              <w:rPr>
                <w:rFonts w:hAnsi="宋体" w:cs="TimesNewRomanPSMT"/>
                <w:color w:val="000000"/>
                <w:kern w:val="0"/>
                <w:szCs w:val="21"/>
              </w:rPr>
              <w:t>视角下的公立医院改革</w:t>
            </w:r>
            <w:r w:rsidR="00880429">
              <w:rPr>
                <w:rFonts w:hAnsi="宋体" w:cs="TimesNewRomanPSMT" w:hint="eastAsia"/>
                <w:color w:val="000000"/>
                <w:kern w:val="0"/>
                <w:szCs w:val="21"/>
              </w:rPr>
              <w:t>；</w:t>
            </w:r>
          </w:p>
          <w:p w14:paraId="4DDE04E2" w14:textId="0DE84F91" w:rsidR="00880429" w:rsidRDefault="0088042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 w:rsidRPr="004740B3">
              <w:rPr>
                <w:rFonts w:hAnsi="宋体" w:cs="宋体" w:hint="eastAsia"/>
                <w:color w:val="000000"/>
                <w:kern w:val="0"/>
                <w:szCs w:val="21"/>
              </w:rPr>
              <w:t>企业职工基本养老保险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现存问题的</w:t>
            </w:r>
            <w:r w:rsidRPr="004740B3">
              <w:rPr>
                <w:rFonts w:hAnsi="宋体" w:cs="宋体" w:hint="eastAsia"/>
                <w:color w:val="000000"/>
                <w:kern w:val="0"/>
                <w:szCs w:val="21"/>
              </w:rPr>
              <w:t>解决方法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及</w:t>
            </w:r>
            <w:r w:rsidR="00005E5E">
              <w:rPr>
                <w:rFonts w:hAnsi="宋体" w:cs="宋体" w:hint="eastAsia"/>
                <w:color w:val="000000"/>
                <w:kern w:val="0"/>
                <w:szCs w:val="21"/>
              </w:rPr>
              <w:t>其</w:t>
            </w:r>
            <w:r w:rsidRPr="00880429">
              <w:rPr>
                <w:rFonts w:hAnsi="宋体" w:cs="宋体" w:hint="eastAsia"/>
                <w:color w:val="000000"/>
                <w:kern w:val="0"/>
                <w:szCs w:val="21"/>
              </w:rPr>
              <w:t>在生育率下降背景下的实施效果、难点与应对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3E30E07F" w14:textId="3CAFD13F" w:rsidR="00880429" w:rsidRPr="00A16EAC" w:rsidRDefault="00B93B2B">
            <w:pPr>
              <w:pStyle w:val="a3"/>
              <w:spacing w:beforeLines="50" w:before="156" w:afterLines="50" w:after="156"/>
              <w:jc w:val="center"/>
              <w:rPr>
                <w:rFonts w:hAnsi="宋体" w:cs="TimesNewRomanPSMT"/>
                <w:color w:val="000000"/>
                <w:kern w:val="0"/>
                <w:szCs w:val="21"/>
              </w:rPr>
            </w:pPr>
            <w:r w:rsidRPr="00B93B2B">
              <w:rPr>
                <w:rFonts w:hAnsi="宋体" w:cs="宋体"/>
              </w:rPr>
              <w:t>后</w:t>
            </w:r>
            <w:proofErr w:type="gramStart"/>
            <w:r w:rsidRPr="00B93B2B">
              <w:rPr>
                <w:rFonts w:hAnsi="宋体" w:cs="宋体"/>
              </w:rPr>
              <w:t>营改增时代</w:t>
            </w:r>
            <w:proofErr w:type="gramEnd"/>
            <w:r w:rsidRPr="00B93B2B">
              <w:rPr>
                <w:rFonts w:hAnsi="宋体" w:cs="宋体"/>
              </w:rPr>
              <w:t>地方税体系的完善</w:t>
            </w:r>
          </w:p>
        </w:tc>
        <w:tc>
          <w:tcPr>
            <w:tcW w:w="2268" w:type="dxa"/>
            <w:vAlign w:val="center"/>
          </w:tcPr>
          <w:p w14:paraId="30A22324" w14:textId="77777777" w:rsidR="00065379" w:rsidRDefault="00065379" w:rsidP="00065379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</w:rPr>
            </w:pPr>
            <w:r w:rsidRPr="00065379">
              <w:rPr>
                <w:rFonts w:ascii="宋体" w:eastAsia="宋体" w:hAnsi="宋体" w:cs="宋体" w:hint="eastAsia"/>
              </w:rPr>
              <w:t>具备经济学学科及财政税收专业方向的专业性知识</w:t>
            </w:r>
            <w:r>
              <w:rPr>
                <w:rFonts w:ascii="宋体" w:eastAsia="宋体" w:hAnsi="宋体" w:cs="宋体" w:hint="eastAsia"/>
              </w:rPr>
              <w:t>；</w:t>
            </w:r>
          </w:p>
          <w:p w14:paraId="74214A71" w14:textId="4A778204" w:rsidR="00030C35" w:rsidRDefault="00065379" w:rsidP="00F80834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</w:rPr>
            </w:pPr>
            <w:r w:rsidRPr="00065379">
              <w:rPr>
                <w:rFonts w:ascii="宋体" w:eastAsia="宋体" w:hAnsi="宋体" w:cs="宋体" w:hint="eastAsia"/>
              </w:rPr>
              <w:t>熟悉专业领域的国家政策与发展前沿</w:t>
            </w:r>
          </w:p>
        </w:tc>
      </w:tr>
      <w:tr w:rsidR="00C22623" w14:paraId="498C3BCF" w14:textId="77777777" w:rsidTr="00880429">
        <w:trPr>
          <w:jc w:val="center"/>
        </w:trPr>
        <w:tc>
          <w:tcPr>
            <w:tcW w:w="1271" w:type="dxa"/>
            <w:vMerge w:val="restart"/>
            <w:vAlign w:val="center"/>
          </w:tcPr>
          <w:p w14:paraId="15585422" w14:textId="77777777" w:rsidR="00C22623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276" w:type="dxa"/>
            <w:vAlign w:val="center"/>
          </w:tcPr>
          <w:p w14:paraId="78A061F5" w14:textId="77777777" w:rsidR="00C22623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4252" w:type="dxa"/>
            <w:vAlign w:val="center"/>
          </w:tcPr>
          <w:p w14:paraId="7CDD19BE" w14:textId="77777777" w:rsidR="007C4647" w:rsidRDefault="007C464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7C4647">
              <w:rPr>
                <w:rFonts w:hAnsi="宋体" w:cs="宋体" w:hint="eastAsia"/>
              </w:rPr>
              <w:t>政府预算视野下的可持续发展；</w:t>
            </w:r>
          </w:p>
          <w:p w14:paraId="4984D9FC" w14:textId="77777777" w:rsidR="007C4647" w:rsidRDefault="007C464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7C4647">
              <w:rPr>
                <w:rFonts w:hAnsi="宋体" w:cs="宋体"/>
              </w:rPr>
              <w:t>“绿色”预算的科目设置及其变化发展；</w:t>
            </w:r>
          </w:p>
          <w:p w14:paraId="3BDAEA64" w14:textId="29129903" w:rsidR="00C22623" w:rsidRDefault="007C464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7C4647">
              <w:rPr>
                <w:rFonts w:hAnsi="宋体" w:cs="宋体"/>
              </w:rPr>
              <w:t>“绿色”预算的规模及其发展变化</w:t>
            </w:r>
          </w:p>
        </w:tc>
        <w:tc>
          <w:tcPr>
            <w:tcW w:w="2268" w:type="dxa"/>
            <w:vAlign w:val="center"/>
          </w:tcPr>
          <w:p w14:paraId="585ED7DE" w14:textId="64C7C90A" w:rsidR="00C22623" w:rsidRDefault="00065379" w:rsidP="00F80834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0"/>
              </w:rPr>
            </w:pPr>
            <w:r w:rsidRPr="00065379">
              <w:rPr>
                <w:rFonts w:ascii="宋体" w:eastAsia="宋体" w:hAnsi="宋体" w:cs="宋体" w:hint="eastAsia"/>
              </w:rPr>
              <w:t>熟悉专业领域的国家政策与发展前沿</w:t>
            </w:r>
          </w:p>
        </w:tc>
      </w:tr>
      <w:tr w:rsidR="00C22623" w14:paraId="02BD13FB" w14:textId="77777777" w:rsidTr="00880429">
        <w:trPr>
          <w:jc w:val="center"/>
        </w:trPr>
        <w:tc>
          <w:tcPr>
            <w:tcW w:w="1271" w:type="dxa"/>
            <w:vMerge/>
            <w:vAlign w:val="center"/>
          </w:tcPr>
          <w:p w14:paraId="23DF5E13" w14:textId="77777777" w:rsidR="00C22623" w:rsidRDefault="00C226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28CBA1" w14:textId="77777777" w:rsidR="00C22623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4252" w:type="dxa"/>
            <w:vAlign w:val="center"/>
          </w:tcPr>
          <w:p w14:paraId="4F19CFA1" w14:textId="77777777" w:rsidR="007C4647" w:rsidRDefault="007C464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7C4647">
              <w:rPr>
                <w:rFonts w:hAnsi="宋体" w:cs="宋体" w:hint="eastAsia"/>
              </w:rPr>
              <w:t>民生预算的提出与内涵；</w:t>
            </w:r>
          </w:p>
          <w:p w14:paraId="68D0EDAA" w14:textId="77777777" w:rsidR="007C4647" w:rsidRDefault="007C464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7C4647">
              <w:rPr>
                <w:rFonts w:hAnsi="宋体" w:cs="宋体"/>
              </w:rPr>
              <w:t>民生预算的科目设置及其发展；</w:t>
            </w:r>
          </w:p>
          <w:p w14:paraId="7718B953" w14:textId="0DB80CD5" w:rsidR="00C22623" w:rsidRDefault="007C464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7C4647">
              <w:rPr>
                <w:rFonts w:hAnsi="宋体" w:cs="宋体"/>
              </w:rPr>
              <w:t>民生预算的规模及其发展变化</w:t>
            </w:r>
          </w:p>
        </w:tc>
        <w:tc>
          <w:tcPr>
            <w:tcW w:w="2268" w:type="dxa"/>
            <w:vAlign w:val="center"/>
          </w:tcPr>
          <w:p w14:paraId="0A8A9D31" w14:textId="7C0974C5" w:rsidR="00C22623" w:rsidRDefault="00065379" w:rsidP="00F80834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0"/>
              </w:rPr>
            </w:pPr>
            <w:r w:rsidRPr="00065379">
              <w:rPr>
                <w:rFonts w:ascii="宋体" w:eastAsia="宋体" w:hAnsi="宋体" w:cs="宋体" w:hint="eastAsia"/>
              </w:rPr>
              <w:t>熟悉专业领域的国家政策与发展前沿</w:t>
            </w:r>
          </w:p>
        </w:tc>
      </w:tr>
      <w:tr w:rsidR="00C22623" w14:paraId="2D65CF8B" w14:textId="77777777" w:rsidTr="00880429">
        <w:trPr>
          <w:jc w:val="center"/>
        </w:trPr>
        <w:tc>
          <w:tcPr>
            <w:tcW w:w="1271" w:type="dxa"/>
            <w:vMerge w:val="restart"/>
            <w:vAlign w:val="center"/>
          </w:tcPr>
          <w:p w14:paraId="2AB439FC" w14:textId="77777777" w:rsidR="00C22623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276" w:type="dxa"/>
            <w:vAlign w:val="center"/>
          </w:tcPr>
          <w:p w14:paraId="5F213C0F" w14:textId="77777777" w:rsidR="00C22623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3.1</w:t>
            </w:r>
          </w:p>
        </w:tc>
        <w:tc>
          <w:tcPr>
            <w:tcW w:w="4252" w:type="dxa"/>
            <w:vAlign w:val="center"/>
          </w:tcPr>
          <w:p w14:paraId="41086B20" w14:textId="459D4146" w:rsidR="00C22623" w:rsidRDefault="00030C3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 w:rsidRPr="009D603F">
              <w:rPr>
                <w:rFonts w:hAnsi="宋体" w:cs="TimesNewRomanPSMT" w:hint="eastAsia"/>
                <w:color w:val="000000"/>
                <w:kern w:val="0"/>
                <w:szCs w:val="21"/>
              </w:rPr>
              <w:t>技术进步对税收征管的影响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690E11B7" w14:textId="751A951C" w:rsidR="006928EB" w:rsidRDefault="006928EB">
            <w:pPr>
              <w:pStyle w:val="a3"/>
              <w:spacing w:beforeLines="50" w:before="156" w:afterLines="50" w:after="156"/>
              <w:jc w:val="center"/>
              <w:rPr>
                <w:rFonts w:hAnsi="宋体" w:cs="TimesNewRomanPSMT"/>
                <w:color w:val="000000"/>
                <w:kern w:val="0"/>
                <w:szCs w:val="21"/>
              </w:rPr>
            </w:pPr>
            <w:r w:rsidRPr="006928EB">
              <w:rPr>
                <w:rFonts w:hAnsi="宋体" w:cs="TimesNewRomanPSMT" w:hint="eastAsia"/>
                <w:color w:val="000000"/>
                <w:kern w:val="0"/>
                <w:szCs w:val="21"/>
              </w:rPr>
              <w:t>企业研发不同阶段的税收激励</w:t>
            </w:r>
            <w:r>
              <w:rPr>
                <w:rFonts w:hAnsi="宋体" w:cs="TimesNewRomanPSMT" w:hint="eastAsia"/>
                <w:color w:val="000000"/>
                <w:kern w:val="0"/>
                <w:szCs w:val="21"/>
              </w:rPr>
              <w:t>政策</w:t>
            </w:r>
            <w:r w:rsidRPr="006928EB">
              <w:rPr>
                <w:rFonts w:hAnsi="宋体" w:cs="TimesNewRomanPSMT" w:hint="eastAsia"/>
                <w:color w:val="000000"/>
                <w:kern w:val="0"/>
                <w:szCs w:val="21"/>
              </w:rPr>
              <w:t>差异；</w:t>
            </w:r>
          </w:p>
          <w:p w14:paraId="2B09D536" w14:textId="77777777" w:rsidR="00030C35" w:rsidRDefault="006928EB">
            <w:pPr>
              <w:pStyle w:val="a3"/>
              <w:spacing w:beforeLines="50" w:before="156" w:afterLines="50" w:after="156"/>
              <w:jc w:val="center"/>
              <w:rPr>
                <w:rFonts w:hAnsi="宋体" w:cs="TimesNewRomanPSMT"/>
                <w:color w:val="000000"/>
                <w:kern w:val="0"/>
                <w:szCs w:val="21"/>
              </w:rPr>
            </w:pPr>
            <w:r w:rsidRPr="006928EB">
              <w:rPr>
                <w:rFonts w:hAnsi="宋体" w:cs="TimesNewRomanPSMT"/>
                <w:color w:val="000000"/>
                <w:kern w:val="0"/>
                <w:szCs w:val="21"/>
              </w:rPr>
              <w:t>促进企业研发的税收激励政策的洲际差异</w:t>
            </w:r>
            <w:r w:rsidR="000E18E4">
              <w:rPr>
                <w:rFonts w:hAnsi="宋体" w:cs="TimesNewRomanPSMT" w:hint="eastAsia"/>
                <w:color w:val="000000"/>
                <w:kern w:val="0"/>
                <w:szCs w:val="21"/>
              </w:rPr>
              <w:t>；</w:t>
            </w:r>
          </w:p>
          <w:p w14:paraId="65723F84" w14:textId="3F1DBF0C" w:rsidR="000E18E4" w:rsidRDefault="000E18E4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 w:rsidRPr="00BA561B">
              <w:rPr>
                <w:rFonts w:hAnsi="宋体" w:cs="宋体" w:hint="eastAsia"/>
                <w:color w:val="000000"/>
                <w:kern w:val="0"/>
                <w:szCs w:val="21"/>
              </w:rPr>
              <w:t>税务部门</w:t>
            </w:r>
            <w:proofErr w:type="gramStart"/>
            <w:r w:rsidRPr="00BA561B">
              <w:rPr>
                <w:rFonts w:hAnsi="宋体" w:cs="宋体" w:hint="eastAsia"/>
                <w:color w:val="000000"/>
                <w:kern w:val="0"/>
                <w:szCs w:val="21"/>
              </w:rPr>
              <w:t>征管非</w:t>
            </w:r>
            <w:proofErr w:type="gramEnd"/>
            <w:r w:rsidRPr="00BA561B">
              <w:rPr>
                <w:rFonts w:hAnsi="宋体" w:cs="宋体" w:hint="eastAsia"/>
                <w:color w:val="000000"/>
                <w:kern w:val="0"/>
                <w:szCs w:val="21"/>
              </w:rPr>
              <w:t>税收入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的</w:t>
            </w:r>
            <w:r w:rsidRPr="00BA561B">
              <w:rPr>
                <w:rFonts w:hAnsi="宋体" w:cs="宋体" w:hint="eastAsia"/>
                <w:color w:val="000000"/>
                <w:kern w:val="0"/>
                <w:szCs w:val="21"/>
              </w:rPr>
              <w:t>现实原因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5950FE3E" w14:textId="77777777" w:rsidR="00A03F70" w:rsidRDefault="00A03F70">
            <w:pPr>
              <w:pStyle w:val="a3"/>
              <w:spacing w:beforeLines="50" w:before="156" w:afterLines="50" w:after="156"/>
              <w:jc w:val="center"/>
              <w:rPr>
                <w:rFonts w:hAnsi="宋体" w:cs="TimesNewRomanPSMT"/>
                <w:color w:val="000000"/>
                <w:kern w:val="0"/>
                <w:szCs w:val="21"/>
              </w:rPr>
            </w:pPr>
            <w:r w:rsidRPr="0039379C">
              <w:rPr>
                <w:rFonts w:hAnsi="宋体" w:cs="TimesNewRomanPSMT"/>
                <w:color w:val="000000"/>
                <w:kern w:val="0"/>
                <w:szCs w:val="21"/>
              </w:rPr>
              <w:t>分析“PIGS”债务危机的异同及化解方案</w:t>
            </w:r>
            <w:r w:rsidR="00B93B2B">
              <w:rPr>
                <w:rFonts w:hAnsi="宋体" w:cs="TimesNewRomanPSMT" w:hint="eastAsia"/>
                <w:color w:val="000000"/>
                <w:kern w:val="0"/>
                <w:szCs w:val="21"/>
              </w:rPr>
              <w:t>；</w:t>
            </w:r>
          </w:p>
          <w:p w14:paraId="1909EF2E" w14:textId="357C1AE1" w:rsidR="00B93B2B" w:rsidRDefault="00B93B2B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proofErr w:type="gramStart"/>
            <w:r w:rsidRPr="00B93B2B">
              <w:rPr>
                <w:rFonts w:hAnsi="宋体" w:cs="宋体"/>
              </w:rPr>
              <w:t>央地关系</w:t>
            </w:r>
            <w:proofErr w:type="gramEnd"/>
            <w:r w:rsidRPr="00B93B2B">
              <w:rPr>
                <w:rFonts w:hAnsi="宋体" w:cs="宋体"/>
              </w:rPr>
              <w:t>的演进</w:t>
            </w:r>
          </w:p>
        </w:tc>
        <w:tc>
          <w:tcPr>
            <w:tcW w:w="2268" w:type="dxa"/>
            <w:vAlign w:val="center"/>
          </w:tcPr>
          <w:p w14:paraId="61F93639" w14:textId="77777777" w:rsidR="00065379" w:rsidRDefault="00065379" w:rsidP="00065379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</w:rPr>
            </w:pPr>
            <w:r w:rsidRPr="00065379">
              <w:rPr>
                <w:rFonts w:ascii="宋体" w:eastAsia="宋体" w:hAnsi="宋体" w:cs="宋体" w:hint="eastAsia"/>
              </w:rPr>
              <w:t>具备经济学学科及财政税收专业方向的专业性知识</w:t>
            </w:r>
            <w:r>
              <w:rPr>
                <w:rFonts w:ascii="宋体" w:eastAsia="宋体" w:hAnsi="宋体" w:cs="宋体" w:hint="eastAsia"/>
              </w:rPr>
              <w:t>；</w:t>
            </w:r>
          </w:p>
          <w:p w14:paraId="2D29887C" w14:textId="1C751CE0" w:rsidR="00C22623" w:rsidRDefault="00065379" w:rsidP="00C64C2F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</w:rPr>
            </w:pPr>
            <w:r w:rsidRPr="00065379">
              <w:rPr>
                <w:rFonts w:ascii="宋体" w:eastAsia="宋体" w:hAnsi="宋体" w:cs="宋体" w:hint="eastAsia"/>
              </w:rPr>
              <w:t>熟悉专业领域的国家政策与发展前沿</w:t>
            </w:r>
          </w:p>
        </w:tc>
      </w:tr>
      <w:tr w:rsidR="00C22623" w14:paraId="2896FC54" w14:textId="77777777" w:rsidTr="00880429">
        <w:trPr>
          <w:jc w:val="center"/>
        </w:trPr>
        <w:tc>
          <w:tcPr>
            <w:tcW w:w="1271" w:type="dxa"/>
            <w:vMerge/>
            <w:vAlign w:val="center"/>
          </w:tcPr>
          <w:p w14:paraId="35D7E0D0" w14:textId="77777777" w:rsidR="00C22623" w:rsidRDefault="00C226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D852D2" w14:textId="77777777" w:rsidR="00C22623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3.2</w:t>
            </w:r>
          </w:p>
        </w:tc>
        <w:tc>
          <w:tcPr>
            <w:tcW w:w="4252" w:type="dxa"/>
            <w:vAlign w:val="center"/>
          </w:tcPr>
          <w:p w14:paraId="0EC60BA0" w14:textId="77777777" w:rsidR="00C22623" w:rsidRDefault="000E18E4">
            <w:pPr>
              <w:pStyle w:val="a3"/>
              <w:spacing w:beforeLines="50" w:before="156" w:afterLines="50" w:after="156"/>
              <w:jc w:val="center"/>
              <w:rPr>
                <w:rFonts w:hAnsi="宋体" w:cs="TimesNewRomanPSMT"/>
                <w:color w:val="000000"/>
                <w:kern w:val="0"/>
                <w:szCs w:val="21"/>
              </w:rPr>
            </w:pPr>
            <w:r w:rsidRPr="00C74112">
              <w:rPr>
                <w:rFonts w:hAnsi="宋体" w:cs="TimesNewRomanPSMT" w:hint="eastAsia"/>
                <w:color w:val="000000"/>
                <w:kern w:val="0"/>
                <w:szCs w:val="21"/>
              </w:rPr>
              <w:t>税收影响企业研发创新的作用机制</w:t>
            </w:r>
            <w:r w:rsidR="00A03F70">
              <w:rPr>
                <w:rFonts w:hAnsi="宋体" w:cs="TimesNewRomanPSMT" w:hint="eastAsia"/>
                <w:color w:val="000000"/>
                <w:kern w:val="0"/>
                <w:szCs w:val="21"/>
              </w:rPr>
              <w:t>；</w:t>
            </w:r>
          </w:p>
          <w:p w14:paraId="6497B0C6" w14:textId="77777777" w:rsidR="00A03F70" w:rsidRDefault="00A03F70">
            <w:pPr>
              <w:pStyle w:val="a3"/>
              <w:spacing w:beforeLines="50" w:before="156" w:afterLines="50" w:after="156"/>
              <w:jc w:val="center"/>
              <w:rPr>
                <w:rFonts w:hAnsi="宋体" w:cs="TimesNewRomanPSMT"/>
                <w:color w:val="000000"/>
                <w:kern w:val="0"/>
                <w:szCs w:val="21"/>
              </w:rPr>
            </w:pPr>
            <w:r w:rsidRPr="0039379C">
              <w:rPr>
                <w:rFonts w:hAnsi="宋体" w:cs="TimesNewRomanPSMT"/>
                <w:color w:val="000000"/>
                <w:kern w:val="0"/>
                <w:szCs w:val="21"/>
              </w:rPr>
              <w:t>希腊债务危机成因分析</w:t>
            </w:r>
            <w:r>
              <w:rPr>
                <w:rFonts w:hAnsi="宋体" w:cs="TimesNewRomanPSMT" w:hint="eastAsia"/>
                <w:color w:val="000000"/>
                <w:kern w:val="0"/>
                <w:szCs w:val="21"/>
              </w:rPr>
              <w:t>；</w:t>
            </w:r>
          </w:p>
          <w:p w14:paraId="46EE122A" w14:textId="60468F76" w:rsidR="00A03F70" w:rsidRDefault="00B93B2B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proofErr w:type="gramStart"/>
            <w:r w:rsidRPr="00B93B2B">
              <w:rPr>
                <w:rFonts w:hAnsi="宋体" w:cs="宋体"/>
              </w:rPr>
              <w:t>营改增</w:t>
            </w:r>
            <w:proofErr w:type="gramEnd"/>
            <w:r w:rsidRPr="00B93B2B">
              <w:rPr>
                <w:rFonts w:hAnsi="宋体" w:cs="宋体"/>
              </w:rPr>
              <w:t>的原因</w:t>
            </w:r>
            <w:r>
              <w:rPr>
                <w:rFonts w:hAnsi="宋体" w:cs="宋体" w:hint="eastAsia"/>
              </w:rPr>
              <w:t>分析</w:t>
            </w:r>
          </w:p>
        </w:tc>
        <w:tc>
          <w:tcPr>
            <w:tcW w:w="2268" w:type="dxa"/>
            <w:vAlign w:val="center"/>
          </w:tcPr>
          <w:p w14:paraId="5B1A744A" w14:textId="77777777" w:rsidR="00065379" w:rsidRDefault="00065379" w:rsidP="00C64C2F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</w:rPr>
            </w:pPr>
            <w:r w:rsidRPr="00065379">
              <w:rPr>
                <w:rFonts w:ascii="宋体" w:eastAsia="宋体" w:hAnsi="宋体" w:cs="宋体" w:hint="eastAsia"/>
              </w:rPr>
              <w:t>具备经济学学科及财政税收专业方向的专业性知识</w:t>
            </w:r>
            <w:r>
              <w:rPr>
                <w:rFonts w:ascii="宋体" w:eastAsia="宋体" w:hAnsi="宋体" w:cs="宋体" w:hint="eastAsia"/>
              </w:rPr>
              <w:t>；</w:t>
            </w:r>
          </w:p>
          <w:p w14:paraId="363BA0DD" w14:textId="419DBAF7" w:rsidR="00C22623" w:rsidRDefault="00065379" w:rsidP="00C64C2F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</w:rPr>
            </w:pPr>
            <w:r w:rsidRPr="00065379">
              <w:rPr>
                <w:rFonts w:ascii="宋体" w:eastAsia="宋体" w:hAnsi="宋体" w:cs="宋体" w:hint="eastAsia"/>
              </w:rPr>
              <w:t>熟悉专业领域的国家</w:t>
            </w:r>
            <w:r w:rsidRPr="00065379">
              <w:rPr>
                <w:rFonts w:ascii="宋体" w:eastAsia="宋体" w:hAnsi="宋体" w:cs="宋体" w:hint="eastAsia"/>
              </w:rPr>
              <w:lastRenderedPageBreak/>
              <w:t>政策与发展前沿</w:t>
            </w:r>
          </w:p>
        </w:tc>
      </w:tr>
    </w:tbl>
    <w:p w14:paraId="435AE547" w14:textId="77777777" w:rsidR="00C22623" w:rsidRPr="00030C35" w:rsidRDefault="00000000">
      <w:pPr>
        <w:widowControl/>
        <w:numPr>
          <w:ilvl w:val="0"/>
          <w:numId w:val="2"/>
        </w:numPr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 w:rsidRPr="00030C35">
        <w:rPr>
          <w:rFonts w:ascii="黑体" w:eastAsia="黑体" w:hAnsi="黑体" w:hint="eastAsia"/>
          <w:b/>
          <w:sz w:val="28"/>
          <w:szCs w:val="28"/>
        </w:rPr>
        <w:lastRenderedPageBreak/>
        <w:t>教学内容</w:t>
      </w:r>
    </w:p>
    <w:p w14:paraId="111AA891" w14:textId="55FCE22C" w:rsidR="00C22623" w:rsidRDefault="00000000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</w:t>
      </w:r>
      <w:r w:rsidR="00C64C2F">
        <w:rPr>
          <w:rFonts w:ascii="黑体" w:eastAsia="黑体" w:hAnsi="黑体" w:cs="Times New Roman"/>
          <w:b/>
          <w:sz w:val="24"/>
          <w:szCs w:val="24"/>
        </w:rPr>
        <w:t xml:space="preserve">  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第一章 </w:t>
      </w:r>
      <w:r w:rsidR="009D603F" w:rsidRPr="009D603F">
        <w:rPr>
          <w:rFonts w:ascii="黑体" w:eastAsia="黑体" w:hAnsi="黑体" w:cs="Times New Roman" w:hint="eastAsia"/>
          <w:b/>
          <w:sz w:val="24"/>
          <w:szCs w:val="24"/>
        </w:rPr>
        <w:t>区块链技术在税收征管中的应用</w:t>
      </w:r>
    </w:p>
    <w:p w14:paraId="46C17900" w14:textId="529EACFD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</w:t>
      </w:r>
      <w:r w:rsidR="00E20D71">
        <w:rPr>
          <w:rFonts w:ascii="宋体" w:eastAsia="宋体" w:hAnsi="宋体" w:cs="宋体" w:hint="eastAsia"/>
          <w:color w:val="000000"/>
          <w:kern w:val="0"/>
          <w:szCs w:val="21"/>
        </w:rPr>
        <w:t>了</w:t>
      </w:r>
      <w:r w:rsidR="009D603F">
        <w:rPr>
          <w:rFonts w:ascii="宋体" w:eastAsia="宋体" w:hAnsi="宋体" w:cs="宋体" w:hint="eastAsia"/>
          <w:color w:val="000000"/>
          <w:kern w:val="0"/>
          <w:szCs w:val="21"/>
        </w:rPr>
        <w:t>解</w:t>
      </w:r>
      <w:r w:rsidR="009D603F" w:rsidRPr="009D603F">
        <w:rPr>
          <w:rFonts w:ascii="宋体" w:eastAsia="宋体" w:hAnsi="宋体" w:cs="宋体" w:hint="eastAsia"/>
          <w:color w:val="000000"/>
          <w:kern w:val="0"/>
          <w:szCs w:val="21"/>
        </w:rPr>
        <w:t>区块链技术</w:t>
      </w:r>
      <w:r w:rsidR="009D603F">
        <w:rPr>
          <w:rFonts w:ascii="宋体" w:eastAsia="宋体" w:hAnsi="宋体" w:cs="宋体" w:hint="eastAsia"/>
          <w:color w:val="000000"/>
          <w:kern w:val="0"/>
          <w:szCs w:val="21"/>
        </w:rPr>
        <w:t>及</w:t>
      </w:r>
      <w:r w:rsidR="00E20D71">
        <w:rPr>
          <w:rFonts w:ascii="宋体" w:eastAsia="宋体" w:hAnsi="宋体" w:cs="宋体" w:hint="eastAsia"/>
          <w:color w:val="000000"/>
          <w:kern w:val="0"/>
          <w:szCs w:val="21"/>
        </w:rPr>
        <w:t>其</w:t>
      </w:r>
      <w:r w:rsidR="009D603F">
        <w:rPr>
          <w:rFonts w:ascii="宋体" w:eastAsia="宋体" w:hAnsi="宋体" w:cs="宋体" w:hint="eastAsia"/>
          <w:color w:val="000000"/>
          <w:kern w:val="0"/>
          <w:szCs w:val="21"/>
        </w:rPr>
        <w:t>优缺点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 w:rsidR="00C74112"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E20D71">
        <w:rPr>
          <w:rFonts w:ascii="宋体" w:eastAsia="宋体" w:hAnsi="宋体" w:cs="宋体" w:hint="eastAsia"/>
          <w:color w:val="000000"/>
          <w:kern w:val="0"/>
          <w:szCs w:val="21"/>
        </w:rPr>
        <w:t>理解税收征管的成本与效率；（3）</w:t>
      </w:r>
      <w:r w:rsidR="009D603F">
        <w:rPr>
          <w:rFonts w:ascii="宋体" w:eastAsia="宋体" w:hAnsi="宋体" w:cs="宋体" w:hint="eastAsia"/>
          <w:color w:val="000000"/>
          <w:kern w:val="0"/>
          <w:szCs w:val="21"/>
        </w:rPr>
        <w:t>了解</w:t>
      </w:r>
      <w:r w:rsidR="009D603F" w:rsidRPr="009D603F">
        <w:rPr>
          <w:rFonts w:ascii="宋体" w:eastAsia="宋体" w:hAnsi="宋体" w:cs="宋体" w:hint="eastAsia"/>
          <w:color w:val="000000"/>
          <w:kern w:val="0"/>
          <w:szCs w:val="21"/>
        </w:rPr>
        <w:t>区块链技术在全球税收征管中的应用</w:t>
      </w:r>
      <w:r w:rsidR="00030C35"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 w:rsidR="00E20D71">
        <w:rPr>
          <w:rFonts w:ascii="宋体" w:eastAsia="宋体" w:hAnsi="宋体" w:cs="宋体"/>
          <w:color w:val="000000"/>
          <w:kern w:val="0"/>
          <w:szCs w:val="21"/>
        </w:rPr>
        <w:t>4</w:t>
      </w:r>
      <w:r w:rsidR="00030C35">
        <w:rPr>
          <w:rFonts w:ascii="宋体" w:eastAsia="宋体" w:hAnsi="宋体" w:cs="宋体" w:hint="eastAsia"/>
          <w:color w:val="000000"/>
          <w:kern w:val="0"/>
          <w:szCs w:val="21"/>
        </w:rPr>
        <w:t>）理解</w:t>
      </w:r>
      <w:r w:rsidR="00030C35" w:rsidRPr="009D603F">
        <w:rPr>
          <w:rFonts w:ascii="宋体" w:eastAsia="宋体" w:hAnsi="宋体" w:cs="TimesNewRomanPSMT" w:hint="eastAsia"/>
          <w:color w:val="000000"/>
          <w:kern w:val="0"/>
          <w:szCs w:val="21"/>
        </w:rPr>
        <w:t>技术进步对税收征管的影响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74BC2EE" w14:textId="0A4FF55F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9D603F" w:rsidRPr="009D603F">
        <w:rPr>
          <w:rFonts w:ascii="宋体" w:eastAsia="宋体" w:hAnsi="宋体" w:cs="宋体" w:hint="eastAsia"/>
          <w:color w:val="000000"/>
          <w:kern w:val="0"/>
          <w:szCs w:val="21"/>
        </w:rPr>
        <w:t>区块链技术的特点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081D458" w14:textId="3E961B6E" w:rsidR="00C22623" w:rsidRPr="009D603F" w:rsidRDefault="00000000" w:rsidP="009D603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9D603F" w:rsidRPr="009D603F">
        <w:rPr>
          <w:rFonts w:ascii="宋体" w:eastAsia="宋体" w:hAnsi="宋体" w:cs="宋体" w:hint="eastAsia"/>
          <w:color w:val="000000"/>
          <w:kern w:val="0"/>
          <w:szCs w:val="21"/>
        </w:rPr>
        <w:t>区块链技术</w:t>
      </w:r>
      <w:r w:rsidR="00E20D71">
        <w:rPr>
          <w:rFonts w:ascii="宋体" w:eastAsia="宋体" w:hAnsi="宋体" w:cs="宋体" w:hint="eastAsia"/>
          <w:color w:val="000000"/>
          <w:kern w:val="0"/>
          <w:szCs w:val="21"/>
        </w:rPr>
        <w:t>及其</w:t>
      </w:r>
      <w:r w:rsidR="009D603F" w:rsidRPr="009D603F">
        <w:rPr>
          <w:rFonts w:ascii="宋体" w:eastAsia="宋体" w:hAnsi="宋体" w:cs="宋体" w:hint="eastAsia"/>
          <w:color w:val="000000"/>
          <w:kern w:val="0"/>
          <w:szCs w:val="21"/>
        </w:rPr>
        <w:t>优缺点；</w:t>
      </w:r>
      <w:r w:rsidR="009D603F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E20D71">
        <w:rPr>
          <w:rFonts w:ascii="宋体" w:eastAsia="宋体" w:hAnsi="宋体" w:cs="宋体"/>
          <w:color w:val="000000"/>
          <w:kern w:val="0"/>
          <w:szCs w:val="21"/>
        </w:rPr>
        <w:t>2</w:t>
      </w:r>
      <w:r w:rsidR="009D603F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B93B2B">
        <w:rPr>
          <w:rFonts w:ascii="宋体" w:eastAsia="宋体" w:hAnsi="宋体" w:cs="宋体" w:hint="eastAsia"/>
          <w:color w:val="000000"/>
          <w:kern w:val="0"/>
          <w:szCs w:val="21"/>
        </w:rPr>
        <w:t>税收征管的成本与效率；（</w:t>
      </w:r>
      <w:r w:rsidR="00E20D71">
        <w:rPr>
          <w:rFonts w:ascii="宋体" w:eastAsia="宋体" w:hAnsi="宋体" w:cs="宋体"/>
          <w:color w:val="000000"/>
          <w:kern w:val="0"/>
          <w:szCs w:val="21"/>
        </w:rPr>
        <w:t>3</w:t>
      </w:r>
      <w:r w:rsidR="00B93B2B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9D603F" w:rsidRPr="009D603F">
        <w:rPr>
          <w:rFonts w:ascii="宋体" w:eastAsia="宋体" w:hAnsi="宋体" w:cs="宋体" w:hint="eastAsia"/>
          <w:color w:val="000000"/>
          <w:kern w:val="0"/>
          <w:szCs w:val="21"/>
        </w:rPr>
        <w:t>区块链技术在全球税收征管中的应用</w:t>
      </w:r>
      <w:r w:rsidR="00030C35"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="00030C35" w:rsidRPr="009D603F">
        <w:rPr>
          <w:rFonts w:ascii="宋体" w:eastAsia="宋体" w:hAnsi="宋体" w:cs="TimesNewRomanPSMT" w:hint="eastAsia"/>
          <w:color w:val="000000"/>
          <w:kern w:val="0"/>
          <w:szCs w:val="21"/>
        </w:rPr>
        <w:t>技术进步对税收征管的影响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FBBEA12" w14:textId="0EBEBEED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</w:t>
      </w:r>
      <w:r w:rsidR="0047605B">
        <w:rPr>
          <w:rFonts w:ascii="宋体" w:eastAsia="宋体" w:hAnsi="宋体" w:cs="宋体" w:hint="eastAsia"/>
          <w:color w:val="000000"/>
          <w:kern w:val="0"/>
          <w:szCs w:val="21"/>
        </w:rPr>
        <w:t>举例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70F6D90" w14:textId="1D2F4076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030C35">
        <w:rPr>
          <w:rFonts w:ascii="宋体" w:eastAsia="宋体" w:hAnsi="宋体" w:cs="TimesNewRomanPSMT" w:hint="eastAsia"/>
          <w:color w:val="000000"/>
          <w:kern w:val="0"/>
          <w:szCs w:val="21"/>
        </w:rPr>
        <w:t>分析</w:t>
      </w:r>
      <w:r w:rsidR="009D603F" w:rsidRPr="009D603F">
        <w:rPr>
          <w:rFonts w:ascii="宋体" w:eastAsia="宋体" w:hAnsi="宋体" w:cs="TimesNewRomanPSMT" w:hint="eastAsia"/>
          <w:color w:val="000000"/>
          <w:kern w:val="0"/>
          <w:szCs w:val="21"/>
        </w:rPr>
        <w:t>技术进步对税收征管的影响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65EAF50E" w14:textId="225C1296" w:rsidR="00C22623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第二章 </w:t>
      </w:r>
      <w:r w:rsidR="00C74112" w:rsidRPr="00C74112">
        <w:rPr>
          <w:rFonts w:ascii="黑体" w:eastAsia="黑体" w:hAnsi="黑体" w:cs="Times New Roman" w:hint="eastAsia"/>
          <w:b/>
          <w:sz w:val="24"/>
          <w:szCs w:val="24"/>
        </w:rPr>
        <w:t>促进企业研发创新的税收激励政策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</w:p>
    <w:p w14:paraId="01C8040A" w14:textId="2EF31A6A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F83D2C"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F83D2C" w:rsidRPr="00C74112">
        <w:rPr>
          <w:rFonts w:ascii="宋体" w:eastAsia="宋体" w:hAnsi="宋体" w:cs="TimesNewRomanPSMT" w:hint="eastAsia"/>
          <w:color w:val="000000"/>
          <w:kern w:val="0"/>
          <w:szCs w:val="21"/>
        </w:rPr>
        <w:t>政府干预企业研发创新的理论基础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F83D2C"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F83D2C" w:rsidRPr="00C74112">
        <w:rPr>
          <w:rFonts w:ascii="宋体" w:eastAsia="宋体" w:hAnsi="宋体" w:cs="TimesNewRomanPSMT" w:hint="eastAsia"/>
          <w:color w:val="000000"/>
          <w:kern w:val="0"/>
          <w:szCs w:val="21"/>
        </w:rPr>
        <w:t>政府促进企业研发创新的财政政策工具；</w:t>
      </w:r>
      <w:r w:rsidR="00F83D2C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F83D2C">
        <w:rPr>
          <w:rFonts w:ascii="宋体" w:eastAsia="宋体" w:hAnsi="宋体" w:cs="TimesNewRomanPSMT"/>
          <w:color w:val="000000"/>
          <w:kern w:val="0"/>
          <w:szCs w:val="21"/>
        </w:rPr>
        <w:t>3</w:t>
      </w:r>
      <w:r w:rsidR="00F83D2C"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F83D2C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F83D2C" w:rsidRPr="00C74112">
        <w:rPr>
          <w:rFonts w:ascii="宋体" w:eastAsia="宋体" w:hAnsi="宋体" w:cs="TimesNewRomanPSMT" w:hint="eastAsia"/>
          <w:color w:val="000000"/>
          <w:kern w:val="0"/>
          <w:szCs w:val="21"/>
        </w:rPr>
        <w:t>税收影响企业研发创新的作用机制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 w:rsidR="00F83D2C">
        <w:rPr>
          <w:rFonts w:ascii="宋体" w:eastAsia="宋体" w:hAnsi="宋体" w:cs="宋体"/>
          <w:color w:val="000000"/>
          <w:kern w:val="0"/>
          <w:szCs w:val="21"/>
        </w:rPr>
        <w:t>4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F83D2C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F83D2C" w:rsidRPr="00C74112">
        <w:rPr>
          <w:rFonts w:ascii="宋体" w:eastAsia="宋体" w:hAnsi="宋体" w:cs="TimesNewRomanPSMT" w:hint="eastAsia"/>
          <w:color w:val="000000"/>
          <w:kern w:val="0"/>
          <w:szCs w:val="21"/>
        </w:rPr>
        <w:t>企业研发创新的税收激励政策</w:t>
      </w:r>
      <w:r w:rsidR="00741F02">
        <w:rPr>
          <w:rFonts w:ascii="宋体" w:eastAsia="宋体" w:hAnsi="宋体" w:cs="TimesNewRomanPSMT" w:hint="eastAsia"/>
          <w:color w:val="000000"/>
          <w:kern w:val="0"/>
          <w:szCs w:val="21"/>
        </w:rPr>
        <w:t>及其实施效果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14FA0F6" w14:textId="3CADE232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4874CD" w:rsidRPr="004874CD">
        <w:rPr>
          <w:rFonts w:ascii="宋体" w:eastAsia="宋体" w:hAnsi="宋体" w:cs="宋体" w:hint="eastAsia"/>
          <w:color w:val="000000"/>
          <w:kern w:val="0"/>
          <w:szCs w:val="21"/>
        </w:rPr>
        <w:t>税收影响企业研发创新的作用机制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4874CD"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="004874CD" w:rsidRPr="00C51E2F">
        <w:rPr>
          <w:rFonts w:eastAsia="宋体" w:hint="eastAsia"/>
        </w:rPr>
        <w:t>专利盒</w:t>
      </w:r>
      <w:r w:rsidR="004874CD">
        <w:rPr>
          <w:rFonts w:eastAsia="宋体" w:hint="eastAsia"/>
        </w:rPr>
        <w:t>”制度</w:t>
      </w:r>
      <w:r w:rsidR="002154B7">
        <w:rPr>
          <w:rFonts w:eastAsia="宋体" w:hint="eastAsia"/>
        </w:rPr>
        <w:t>；</w:t>
      </w:r>
      <w:r w:rsidR="00FA6DEE">
        <w:rPr>
          <w:rFonts w:eastAsia="宋体" w:hint="eastAsia"/>
        </w:rPr>
        <w:t>（</w:t>
      </w:r>
      <w:r w:rsidR="00FA6DEE">
        <w:rPr>
          <w:rFonts w:eastAsia="宋体" w:hint="eastAsia"/>
        </w:rPr>
        <w:t>3</w:t>
      </w:r>
      <w:r w:rsidR="00FA6DEE">
        <w:rPr>
          <w:rFonts w:eastAsia="宋体" w:hint="eastAsia"/>
        </w:rPr>
        <w:t>）税收激励政策的</w:t>
      </w:r>
      <w:r w:rsidR="00FA6DEE" w:rsidRPr="00FA6DEE">
        <w:rPr>
          <w:rFonts w:eastAsia="宋体" w:hint="eastAsia"/>
        </w:rPr>
        <w:t>实施效果</w:t>
      </w:r>
      <w:r w:rsidR="00FA6DEE">
        <w:rPr>
          <w:rFonts w:eastAsia="宋体" w:hint="eastAsia"/>
        </w:rPr>
        <w:t>；</w:t>
      </w:r>
      <w:r w:rsidR="002154B7">
        <w:rPr>
          <w:rFonts w:eastAsia="宋体" w:hint="eastAsia"/>
        </w:rPr>
        <w:t>（</w:t>
      </w:r>
      <w:r w:rsidR="00FA6DEE">
        <w:rPr>
          <w:rFonts w:eastAsia="宋体"/>
        </w:rPr>
        <w:t>4</w:t>
      </w:r>
      <w:r w:rsidR="002154B7">
        <w:rPr>
          <w:rFonts w:eastAsia="宋体" w:hint="eastAsia"/>
        </w:rPr>
        <w:t>）税收激励</w:t>
      </w:r>
      <w:r w:rsidR="002154B7" w:rsidRPr="002154B7">
        <w:rPr>
          <w:rFonts w:eastAsia="宋体" w:hint="eastAsia"/>
        </w:rPr>
        <w:t>要素的分布：税率优惠；税基优惠；税额优惠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6DEF974" w14:textId="19EF90F4" w:rsidR="00C22623" w:rsidRPr="00C74112" w:rsidRDefault="00000000" w:rsidP="00C7411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C74112" w:rsidRPr="00C74112">
        <w:rPr>
          <w:rFonts w:ascii="宋体" w:eastAsia="宋体" w:hAnsi="宋体" w:cs="TimesNewRomanPSMT" w:hint="eastAsia"/>
          <w:color w:val="000000"/>
          <w:kern w:val="0"/>
          <w:szCs w:val="21"/>
        </w:rPr>
        <w:t>政府干预企业研发创新的理论基础；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C74112" w:rsidRPr="00C74112">
        <w:rPr>
          <w:rFonts w:ascii="宋体" w:eastAsia="宋体" w:hAnsi="宋体" w:cs="TimesNewRomanPSMT" w:hint="eastAsia"/>
          <w:color w:val="000000"/>
          <w:kern w:val="0"/>
          <w:szCs w:val="21"/>
        </w:rPr>
        <w:t>政府促进企业研发创新的财政政策工具；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（3）</w:t>
      </w:r>
      <w:r w:rsidR="00C74112" w:rsidRPr="00C74112">
        <w:rPr>
          <w:rFonts w:ascii="宋体" w:eastAsia="宋体" w:hAnsi="宋体" w:cs="TimesNewRomanPSMT" w:hint="eastAsia"/>
          <w:color w:val="000000"/>
          <w:kern w:val="0"/>
          <w:szCs w:val="21"/>
        </w:rPr>
        <w:t>税收影响企业研发创新的作用机制；</w:t>
      </w:r>
      <w:r w:rsidR="00C74112">
        <w:rPr>
          <w:rFonts w:ascii="宋体" w:eastAsia="宋体" w:hAnsi="宋体" w:cs="TimesNewRomanPSMT" w:hint="eastAsia"/>
          <w:color w:val="000000"/>
          <w:kern w:val="0"/>
          <w:szCs w:val="21"/>
        </w:rPr>
        <w:t>（4）</w:t>
      </w:r>
      <w:r w:rsidR="00C74112" w:rsidRPr="00C74112">
        <w:rPr>
          <w:rFonts w:ascii="宋体" w:eastAsia="宋体" w:hAnsi="宋体" w:cs="TimesNewRomanPSMT" w:hint="eastAsia"/>
          <w:color w:val="000000"/>
          <w:kern w:val="0"/>
          <w:szCs w:val="21"/>
        </w:rPr>
        <w:t>促进企业研发创新的税收激励政策（针对研发投入端）</w:t>
      </w:r>
      <w:r w:rsidR="00C74112">
        <w:rPr>
          <w:rFonts w:ascii="宋体" w:eastAsia="宋体" w:hAnsi="宋体" w:cs="TimesNewRomanPSMT" w:hint="eastAsia"/>
          <w:color w:val="000000"/>
          <w:kern w:val="0"/>
          <w:szCs w:val="21"/>
        </w:rPr>
        <w:t>；（5）</w:t>
      </w:r>
      <w:r w:rsidR="00C74112" w:rsidRPr="00C74112">
        <w:rPr>
          <w:rFonts w:ascii="宋体" w:eastAsia="宋体" w:hAnsi="宋体" w:cs="TimesNewRomanPSMT" w:hint="eastAsia"/>
          <w:color w:val="000000"/>
          <w:kern w:val="0"/>
          <w:szCs w:val="21"/>
        </w:rPr>
        <w:t>促进企业研发创新的税收激励政策（针对研发产出端）</w:t>
      </w:r>
      <w:r w:rsidR="00C74112">
        <w:rPr>
          <w:rFonts w:ascii="宋体" w:eastAsia="宋体" w:hAnsi="宋体" w:cs="TimesNewRomanPSMT" w:hint="eastAsia"/>
          <w:color w:val="000000"/>
          <w:kern w:val="0"/>
          <w:szCs w:val="21"/>
        </w:rPr>
        <w:t>；（6）</w:t>
      </w:r>
      <w:r w:rsidR="00C74112" w:rsidRPr="00C74112">
        <w:rPr>
          <w:rFonts w:ascii="宋体" w:eastAsia="宋体" w:hAnsi="宋体" w:cs="TimesNewRomanPSMT" w:hint="eastAsia"/>
          <w:color w:val="000000"/>
          <w:kern w:val="0"/>
          <w:szCs w:val="21"/>
        </w:rPr>
        <w:t>针对企业研发不同阶段的税收激励差异</w:t>
      </w:r>
      <w:r w:rsidR="00C74112">
        <w:rPr>
          <w:rFonts w:ascii="宋体" w:eastAsia="宋体" w:hAnsi="宋体" w:cs="TimesNewRomanPSMT" w:hint="eastAsia"/>
          <w:color w:val="000000"/>
          <w:kern w:val="0"/>
          <w:szCs w:val="21"/>
        </w:rPr>
        <w:t>；（7）</w:t>
      </w:r>
      <w:r w:rsidR="00C74112" w:rsidRPr="00C74112">
        <w:rPr>
          <w:rFonts w:ascii="宋体" w:eastAsia="宋体" w:hAnsi="宋体" w:cs="TimesNewRomanPSMT" w:hint="eastAsia"/>
          <w:color w:val="000000"/>
          <w:kern w:val="0"/>
          <w:szCs w:val="21"/>
        </w:rPr>
        <w:t>促进企业研发的税收激励政策的洲际差异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31499E8" w14:textId="77777777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486106B0" w14:textId="7D316031" w:rsidR="00C22623" w:rsidRDefault="00000000" w:rsidP="0012483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C74112" w:rsidRPr="00C74112">
        <w:rPr>
          <w:rFonts w:ascii="宋体" w:eastAsia="宋体" w:hAnsi="宋体" w:cs="TimesNewRomanPSMT" w:hint="eastAsia"/>
          <w:color w:val="000000"/>
          <w:kern w:val="0"/>
          <w:szCs w:val="21"/>
        </w:rPr>
        <w:t>通过</w:t>
      </w:r>
      <w:r w:rsidR="00B72290">
        <w:rPr>
          <w:rFonts w:ascii="宋体" w:eastAsia="宋体" w:hAnsi="宋体" w:cs="TimesNewRomanPSMT" w:hint="eastAsia"/>
          <w:color w:val="000000"/>
          <w:kern w:val="0"/>
          <w:szCs w:val="21"/>
        </w:rPr>
        <w:t>充分</w:t>
      </w:r>
      <w:r w:rsidR="00C74112" w:rsidRPr="00C74112">
        <w:rPr>
          <w:rFonts w:ascii="宋体" w:eastAsia="宋体" w:hAnsi="宋体" w:cs="TimesNewRomanPSMT" w:hint="eastAsia"/>
          <w:color w:val="000000"/>
          <w:kern w:val="0"/>
          <w:szCs w:val="21"/>
        </w:rPr>
        <w:t>讨论</w:t>
      </w:r>
      <w:r w:rsidR="00B72290">
        <w:rPr>
          <w:rFonts w:ascii="宋体" w:eastAsia="宋体" w:hAnsi="宋体" w:cs="TimesNewRomanPSMT" w:hint="eastAsia"/>
          <w:color w:val="000000"/>
          <w:kern w:val="0"/>
          <w:szCs w:val="21"/>
        </w:rPr>
        <w:t>深入思考</w:t>
      </w:r>
      <w:r w:rsidR="005652E2">
        <w:rPr>
          <w:rFonts w:ascii="宋体" w:eastAsia="宋体" w:hAnsi="宋体" w:cs="TimesNewRomanPSMT" w:hint="eastAsia"/>
          <w:color w:val="000000"/>
          <w:kern w:val="0"/>
          <w:szCs w:val="21"/>
        </w:rPr>
        <w:t>代表性国家</w:t>
      </w:r>
      <w:r w:rsidR="00C74112" w:rsidRPr="00C74112">
        <w:rPr>
          <w:rFonts w:ascii="宋体" w:eastAsia="宋体" w:hAnsi="宋体" w:cs="TimesNewRomanPSMT" w:hint="eastAsia"/>
          <w:color w:val="000000"/>
          <w:kern w:val="0"/>
          <w:szCs w:val="21"/>
        </w:rPr>
        <w:t>促进企业研发的税收激励政策的</w:t>
      </w:r>
      <w:r w:rsidR="00B72290">
        <w:rPr>
          <w:rFonts w:ascii="宋体" w:eastAsia="宋体" w:hAnsi="宋体" w:cs="TimesNewRomanPSMT" w:hint="eastAsia"/>
          <w:color w:val="000000"/>
          <w:kern w:val="0"/>
          <w:szCs w:val="21"/>
        </w:rPr>
        <w:t>设计</w:t>
      </w:r>
      <w:r w:rsidR="00C74112" w:rsidRPr="00C74112">
        <w:rPr>
          <w:rFonts w:ascii="宋体" w:eastAsia="宋体" w:hAnsi="宋体" w:cs="TimesNewRomanPSMT" w:hint="eastAsia"/>
          <w:color w:val="000000"/>
          <w:kern w:val="0"/>
          <w:szCs w:val="21"/>
        </w:rPr>
        <w:t>意</w:t>
      </w:r>
      <w:r w:rsidR="00B72290">
        <w:rPr>
          <w:rFonts w:ascii="宋体" w:eastAsia="宋体" w:hAnsi="宋体" w:cs="TimesNewRomanPSMT" w:hint="eastAsia"/>
          <w:color w:val="000000"/>
          <w:kern w:val="0"/>
          <w:szCs w:val="21"/>
        </w:rPr>
        <w:t>图及原因</w:t>
      </w:r>
      <w:r w:rsidR="0012483D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713898A8" w14:textId="77777777" w:rsidR="00C74112" w:rsidRDefault="00C7411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4D4A6AA0" w14:textId="4896C0CD" w:rsidR="00C22623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第三章 </w:t>
      </w:r>
      <w:r w:rsidR="00BA561B" w:rsidRPr="00BA561B">
        <w:rPr>
          <w:rFonts w:ascii="黑体" w:eastAsia="黑体" w:hAnsi="黑体" w:cs="Times New Roman" w:hint="eastAsia"/>
          <w:b/>
          <w:sz w:val="24"/>
          <w:szCs w:val="24"/>
        </w:rPr>
        <w:t>税务部门</w:t>
      </w:r>
      <w:proofErr w:type="gramStart"/>
      <w:r w:rsidR="00BA561B" w:rsidRPr="00BA561B">
        <w:rPr>
          <w:rFonts w:ascii="黑体" w:eastAsia="黑体" w:hAnsi="黑体" w:cs="Times New Roman" w:hint="eastAsia"/>
          <w:b/>
          <w:sz w:val="24"/>
          <w:szCs w:val="24"/>
        </w:rPr>
        <w:t>征管非</w:t>
      </w:r>
      <w:proofErr w:type="gramEnd"/>
      <w:r w:rsidR="00BA561B" w:rsidRPr="00BA561B">
        <w:rPr>
          <w:rFonts w:ascii="黑体" w:eastAsia="黑体" w:hAnsi="黑体" w:cs="Times New Roman" w:hint="eastAsia"/>
          <w:b/>
          <w:sz w:val="24"/>
          <w:szCs w:val="24"/>
        </w:rPr>
        <w:t>税收入的实现路径</w:t>
      </w:r>
    </w:p>
    <w:p w14:paraId="3AE9610E" w14:textId="7B76AFA7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BA561B" w:rsidRPr="00BA561B">
        <w:rPr>
          <w:rFonts w:ascii="宋体" w:eastAsia="宋体" w:hAnsi="宋体" w:cs="宋体" w:hint="eastAsia"/>
          <w:color w:val="000000"/>
          <w:kern w:val="0"/>
          <w:szCs w:val="21"/>
        </w:rPr>
        <w:t>非</w:t>
      </w:r>
      <w:proofErr w:type="gramEnd"/>
      <w:r w:rsidR="00BA561B" w:rsidRPr="00BA561B">
        <w:rPr>
          <w:rFonts w:ascii="宋体" w:eastAsia="宋体" w:hAnsi="宋体" w:cs="宋体" w:hint="eastAsia"/>
          <w:color w:val="000000"/>
          <w:kern w:val="0"/>
          <w:szCs w:val="21"/>
        </w:rPr>
        <w:t>税收入由税务部门征管的理论依据与现实原因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BA561B">
        <w:rPr>
          <w:rFonts w:ascii="宋体" w:eastAsia="宋体" w:hAnsi="宋体" w:cs="宋体" w:hint="eastAsia"/>
          <w:color w:val="000000"/>
          <w:kern w:val="0"/>
          <w:szCs w:val="21"/>
        </w:rPr>
        <w:t>了解</w:t>
      </w:r>
      <w:r w:rsidR="00BA561B" w:rsidRPr="00BA561B">
        <w:rPr>
          <w:rFonts w:ascii="宋体" w:eastAsia="宋体" w:hAnsi="宋体" w:cs="宋体" w:hint="eastAsia"/>
          <w:color w:val="000000"/>
          <w:kern w:val="0"/>
          <w:szCs w:val="21"/>
        </w:rPr>
        <w:t>税务部门</w:t>
      </w:r>
      <w:proofErr w:type="gramStart"/>
      <w:r w:rsidR="00BA561B" w:rsidRPr="00BA561B">
        <w:rPr>
          <w:rFonts w:ascii="宋体" w:eastAsia="宋体" w:hAnsi="宋体" w:cs="宋体" w:hint="eastAsia"/>
          <w:color w:val="000000"/>
          <w:kern w:val="0"/>
          <w:szCs w:val="21"/>
        </w:rPr>
        <w:t>征管非</w:t>
      </w:r>
      <w:proofErr w:type="gramEnd"/>
      <w:r w:rsidR="00BA561B" w:rsidRPr="00BA561B">
        <w:rPr>
          <w:rFonts w:ascii="宋体" w:eastAsia="宋体" w:hAnsi="宋体" w:cs="宋体" w:hint="eastAsia"/>
          <w:color w:val="000000"/>
          <w:kern w:val="0"/>
          <w:szCs w:val="21"/>
        </w:rPr>
        <w:t>税收入的模式和步骤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263D2344" w14:textId="655C0693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BA561B" w:rsidRPr="00BA561B">
        <w:rPr>
          <w:rFonts w:ascii="宋体" w:eastAsia="宋体" w:hAnsi="宋体" w:cs="宋体" w:hint="eastAsia"/>
          <w:color w:val="000000"/>
          <w:kern w:val="0"/>
          <w:szCs w:val="21"/>
        </w:rPr>
        <w:t>非税收入由税务部门征管的理论依据与现实原因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27E9EA1" w14:textId="1B466E90" w:rsidR="00C22623" w:rsidRPr="00BA561B" w:rsidRDefault="00000000" w:rsidP="00BA561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BA561B" w:rsidRPr="00BA561B">
        <w:rPr>
          <w:rFonts w:ascii="宋体" w:eastAsia="宋体" w:hAnsi="宋体" w:cs="宋体" w:hint="eastAsia"/>
          <w:color w:val="000000"/>
          <w:kern w:val="0"/>
          <w:szCs w:val="21"/>
        </w:rPr>
        <w:t>非税收入由税务部门征管的理论依据与现实原因；</w:t>
      </w:r>
      <w:r w:rsidR="00BA561B"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BA561B" w:rsidRPr="00BA561B">
        <w:rPr>
          <w:rFonts w:ascii="宋体" w:eastAsia="宋体" w:hAnsi="宋体" w:cs="宋体" w:hint="eastAsia"/>
          <w:color w:val="000000"/>
          <w:kern w:val="0"/>
          <w:szCs w:val="21"/>
        </w:rPr>
        <w:t>税务部门</w:t>
      </w:r>
      <w:proofErr w:type="gramStart"/>
      <w:r w:rsidR="00BA561B" w:rsidRPr="00BA561B">
        <w:rPr>
          <w:rFonts w:ascii="宋体" w:eastAsia="宋体" w:hAnsi="宋体" w:cs="宋体" w:hint="eastAsia"/>
          <w:color w:val="000000"/>
          <w:kern w:val="0"/>
          <w:szCs w:val="21"/>
        </w:rPr>
        <w:t>征管非</w:t>
      </w:r>
      <w:proofErr w:type="gramEnd"/>
      <w:r w:rsidR="00BA561B" w:rsidRPr="00BA561B">
        <w:rPr>
          <w:rFonts w:ascii="宋体" w:eastAsia="宋体" w:hAnsi="宋体" w:cs="宋体" w:hint="eastAsia"/>
          <w:color w:val="000000"/>
          <w:kern w:val="0"/>
          <w:szCs w:val="21"/>
        </w:rPr>
        <w:t>税收入的模式和步骤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E983F70" w14:textId="133D9D18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教学方法：讲授、讨论。</w:t>
      </w:r>
    </w:p>
    <w:p w14:paraId="51C660F6" w14:textId="1ED0D1B1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BA561B" w:rsidRPr="00BA561B">
        <w:rPr>
          <w:rFonts w:ascii="宋体" w:eastAsia="宋体" w:hAnsi="宋体" w:cs="TimesNewRomanPSMT" w:hint="eastAsia"/>
          <w:color w:val="000000"/>
          <w:kern w:val="0"/>
          <w:szCs w:val="21"/>
        </w:rPr>
        <w:t>讨论税务部门在非税收入的实际征管过程中可能面临的问题</w:t>
      </w:r>
      <w:r w:rsidR="00BA561B">
        <w:rPr>
          <w:rFonts w:ascii="宋体" w:eastAsia="宋体" w:hAnsi="宋体" w:cs="TimesNewRomanPSMT" w:hint="eastAsia"/>
          <w:color w:val="000000"/>
          <w:kern w:val="0"/>
          <w:szCs w:val="21"/>
        </w:rPr>
        <w:t>和</w:t>
      </w:r>
      <w:r w:rsidR="00BA561B" w:rsidRPr="00BA561B">
        <w:rPr>
          <w:rFonts w:ascii="宋体" w:eastAsia="宋体" w:hAnsi="宋体" w:cs="TimesNewRomanPSMT" w:hint="eastAsia"/>
          <w:color w:val="000000"/>
          <w:kern w:val="0"/>
          <w:szCs w:val="21"/>
        </w:rPr>
        <w:t>难点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42829CD3" w14:textId="154EA852" w:rsidR="00C22623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第四章 </w:t>
      </w:r>
      <w:r w:rsidR="00CF098A" w:rsidRPr="00CF098A">
        <w:rPr>
          <w:rFonts w:ascii="黑体" w:eastAsia="黑体" w:hAnsi="黑体" w:cs="Times New Roman" w:hint="eastAsia"/>
          <w:b/>
          <w:sz w:val="24"/>
          <w:szCs w:val="24"/>
        </w:rPr>
        <w:t>财政学视角下公立医院的</w:t>
      </w:r>
      <w:r w:rsidR="00181E1A">
        <w:rPr>
          <w:rFonts w:ascii="黑体" w:eastAsia="黑体" w:hAnsi="黑体" w:cs="Times New Roman" w:hint="eastAsia"/>
          <w:b/>
          <w:sz w:val="24"/>
          <w:szCs w:val="24"/>
        </w:rPr>
        <w:t>体制</w:t>
      </w:r>
      <w:r w:rsidR="00CF098A" w:rsidRPr="00CF098A">
        <w:rPr>
          <w:rFonts w:ascii="黑体" w:eastAsia="黑体" w:hAnsi="黑体" w:cs="Times New Roman" w:hint="eastAsia"/>
          <w:b/>
          <w:sz w:val="24"/>
          <w:szCs w:val="24"/>
        </w:rPr>
        <w:t>改革</w:t>
      </w:r>
    </w:p>
    <w:p w14:paraId="27C7343A" w14:textId="6A12FCB8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181E1A">
        <w:rPr>
          <w:rFonts w:ascii="宋体" w:eastAsia="宋体" w:hAnsi="宋体" w:cs="宋体" w:hint="eastAsia"/>
          <w:color w:val="000000"/>
          <w:kern w:val="0"/>
          <w:szCs w:val="21"/>
        </w:rPr>
        <w:t>从</w:t>
      </w:r>
      <w:r w:rsidR="00181E1A" w:rsidRPr="00181E1A">
        <w:rPr>
          <w:rFonts w:ascii="宋体" w:eastAsia="宋体" w:hAnsi="宋体" w:cs="宋体" w:hint="eastAsia"/>
          <w:color w:val="000000"/>
          <w:kern w:val="0"/>
          <w:szCs w:val="21"/>
        </w:rPr>
        <w:t>财政学视角</w:t>
      </w:r>
      <w:r w:rsidR="00181E1A">
        <w:rPr>
          <w:rFonts w:ascii="宋体" w:eastAsia="宋体" w:hAnsi="宋体" w:cs="宋体" w:hint="eastAsia"/>
          <w:color w:val="000000"/>
          <w:kern w:val="0"/>
          <w:szCs w:val="21"/>
        </w:rPr>
        <w:t>出发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181E1A" w:rsidRPr="00181E1A">
        <w:rPr>
          <w:rFonts w:ascii="宋体" w:eastAsia="宋体" w:hAnsi="宋体" w:cs="宋体" w:hint="eastAsia"/>
          <w:color w:val="000000"/>
          <w:kern w:val="0"/>
          <w:szCs w:val="21"/>
        </w:rPr>
        <w:t>公立医院的突出问题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181E1A"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181E1A" w:rsidRPr="00181E1A">
        <w:rPr>
          <w:rFonts w:ascii="宋体" w:eastAsia="宋体" w:hAnsi="宋体" w:cs="TimesNewRomanPSMT"/>
          <w:color w:val="000000"/>
          <w:kern w:val="0"/>
          <w:szCs w:val="21"/>
        </w:rPr>
        <w:t>公立医院问题与事业单位财政拨款制度</w:t>
      </w:r>
      <w:r w:rsidR="00181E1A">
        <w:rPr>
          <w:rFonts w:ascii="宋体" w:eastAsia="宋体" w:hAnsi="宋体" w:cs="TimesNewRomanPSMT" w:hint="eastAsia"/>
          <w:color w:val="000000"/>
          <w:kern w:val="0"/>
          <w:szCs w:val="21"/>
        </w:rPr>
        <w:t>的关联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 w:rsidR="00181E1A"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181E1A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181E1A" w:rsidRPr="00181E1A">
        <w:rPr>
          <w:rFonts w:ascii="宋体" w:eastAsia="宋体" w:hAnsi="宋体" w:cs="TimesNewRomanPSMT"/>
          <w:color w:val="000000"/>
          <w:kern w:val="0"/>
          <w:szCs w:val="21"/>
        </w:rPr>
        <w:t>公立医院改革</w:t>
      </w:r>
      <w:r w:rsidR="00181E1A">
        <w:rPr>
          <w:rFonts w:ascii="宋体" w:eastAsia="宋体" w:hAnsi="宋体" w:cs="TimesNewRomanPSMT" w:hint="eastAsia"/>
          <w:color w:val="000000"/>
          <w:kern w:val="0"/>
          <w:szCs w:val="21"/>
        </w:rPr>
        <w:t>的</w:t>
      </w:r>
      <w:r w:rsidR="00181E1A" w:rsidRPr="00181E1A">
        <w:rPr>
          <w:rFonts w:ascii="宋体" w:eastAsia="宋体" w:hAnsi="宋体" w:cs="TimesNewRomanPSMT" w:hint="eastAsia"/>
          <w:color w:val="000000"/>
          <w:kern w:val="0"/>
          <w:szCs w:val="21"/>
        </w:rPr>
        <w:t>可行性、难点</w:t>
      </w:r>
      <w:r w:rsidR="00181E1A">
        <w:rPr>
          <w:rFonts w:ascii="宋体" w:eastAsia="宋体" w:hAnsi="宋体" w:cs="TimesNewRomanPSMT" w:hint="eastAsia"/>
          <w:color w:val="000000"/>
          <w:kern w:val="0"/>
          <w:szCs w:val="21"/>
        </w:rPr>
        <w:t>及可能的</w:t>
      </w:r>
      <w:r w:rsidR="00181E1A" w:rsidRPr="00181E1A">
        <w:rPr>
          <w:rFonts w:ascii="宋体" w:eastAsia="宋体" w:hAnsi="宋体" w:cs="TimesNewRomanPSMT" w:hint="eastAsia"/>
          <w:color w:val="000000"/>
          <w:kern w:val="0"/>
          <w:szCs w:val="21"/>
        </w:rPr>
        <w:t>解决方案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872690A" w14:textId="5A897834" w:rsidR="00181E1A" w:rsidRPr="00181E1A" w:rsidRDefault="00000000" w:rsidP="00181E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81E1A">
        <w:rPr>
          <w:rFonts w:ascii="宋体" w:eastAsia="宋体" w:hAnsi="宋体" w:cs="宋体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562973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562973" w:rsidRPr="00562973">
        <w:rPr>
          <w:rFonts w:ascii="宋体" w:eastAsia="宋体" w:hAnsi="宋体" w:cs="宋体" w:hint="eastAsia"/>
          <w:color w:val="000000"/>
          <w:kern w:val="0"/>
          <w:szCs w:val="21"/>
        </w:rPr>
        <w:t>医药分离</w:t>
      </w:r>
      <w:r w:rsidR="00562973"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181E1A" w:rsidRPr="00181E1A">
        <w:rPr>
          <w:rFonts w:ascii="宋体" w:eastAsia="宋体" w:hAnsi="宋体" w:cs="宋体" w:hint="eastAsia"/>
          <w:color w:val="000000"/>
          <w:kern w:val="0"/>
          <w:szCs w:val="21"/>
        </w:rPr>
        <w:t>医疗保险预付费</w:t>
      </w:r>
      <w:r w:rsidR="00562973">
        <w:rPr>
          <w:rFonts w:ascii="宋体" w:eastAsia="宋体" w:hAnsi="宋体" w:cs="宋体" w:hint="eastAsia"/>
          <w:color w:val="000000"/>
          <w:kern w:val="0"/>
          <w:szCs w:val="21"/>
        </w:rPr>
        <w:t>制度</w:t>
      </w:r>
      <w:r w:rsidR="00181E1A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CE616D8" w14:textId="43CF1CC1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181E1A" w:rsidRPr="00181E1A">
        <w:rPr>
          <w:rFonts w:ascii="宋体" w:eastAsia="宋体" w:hAnsi="宋体" w:cs="宋体" w:hint="eastAsia"/>
          <w:color w:val="000000"/>
          <w:kern w:val="0"/>
          <w:szCs w:val="21"/>
        </w:rPr>
        <w:t>财政学视角下公立医院的突出问题</w:t>
      </w:r>
      <w:r w:rsidR="00181E1A"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181E1A" w:rsidRPr="00181E1A">
        <w:rPr>
          <w:rFonts w:ascii="宋体" w:eastAsia="宋体" w:hAnsi="宋体" w:cs="TimesNewRomanPSMT"/>
          <w:color w:val="000000"/>
          <w:kern w:val="0"/>
          <w:szCs w:val="21"/>
        </w:rPr>
        <w:t>公立医院收入状况分析</w:t>
      </w:r>
      <w:r w:rsidR="00181E1A">
        <w:rPr>
          <w:rFonts w:ascii="宋体" w:eastAsia="宋体" w:hAnsi="宋体" w:cs="TimesNewRomanPSMT" w:hint="eastAsia"/>
          <w:color w:val="000000"/>
          <w:kern w:val="0"/>
          <w:szCs w:val="21"/>
        </w:rPr>
        <w:t>；（3）</w:t>
      </w:r>
      <w:r w:rsidR="00181E1A" w:rsidRPr="00181E1A">
        <w:rPr>
          <w:rFonts w:ascii="宋体" w:eastAsia="宋体" w:hAnsi="宋体" w:cs="TimesNewRomanPSMT"/>
          <w:color w:val="000000"/>
          <w:kern w:val="0"/>
          <w:szCs w:val="21"/>
        </w:rPr>
        <w:t>公立医院问题与事业单位财政拨款制度</w:t>
      </w:r>
      <w:r w:rsidR="00181E1A">
        <w:rPr>
          <w:rFonts w:ascii="宋体" w:eastAsia="宋体" w:hAnsi="宋体" w:cs="TimesNewRomanPSMT" w:hint="eastAsia"/>
          <w:color w:val="000000"/>
          <w:kern w:val="0"/>
          <w:szCs w:val="21"/>
        </w:rPr>
        <w:t>；（4）</w:t>
      </w:r>
      <w:r w:rsidR="00181E1A" w:rsidRPr="00181E1A">
        <w:rPr>
          <w:rFonts w:ascii="宋体" w:eastAsia="宋体" w:hAnsi="宋体" w:cs="TimesNewRomanPSMT"/>
          <w:color w:val="000000"/>
          <w:kern w:val="0"/>
          <w:szCs w:val="21"/>
        </w:rPr>
        <w:t>财政</w:t>
      </w:r>
      <w:r w:rsidR="00A16EAC">
        <w:rPr>
          <w:rFonts w:ascii="宋体" w:eastAsia="宋体" w:hAnsi="宋体" w:cs="TimesNewRomanPSMT" w:hint="eastAsia"/>
          <w:color w:val="000000"/>
          <w:kern w:val="0"/>
          <w:szCs w:val="21"/>
        </w:rPr>
        <w:t>学</w:t>
      </w:r>
      <w:r w:rsidR="00181E1A" w:rsidRPr="00181E1A">
        <w:rPr>
          <w:rFonts w:ascii="宋体" w:eastAsia="宋体" w:hAnsi="宋体" w:cs="TimesNewRomanPSMT"/>
          <w:color w:val="000000"/>
          <w:kern w:val="0"/>
          <w:szCs w:val="21"/>
        </w:rPr>
        <w:t>视角下的公立医院改革</w:t>
      </w:r>
      <w:r w:rsidR="00181E1A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62072CA4" w14:textId="3E29A63D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</w:t>
      </w:r>
      <w:r w:rsidR="0047605B">
        <w:rPr>
          <w:rFonts w:ascii="宋体" w:eastAsia="宋体" w:hAnsi="宋体" w:cs="宋体" w:hint="eastAsia"/>
          <w:color w:val="000000"/>
          <w:kern w:val="0"/>
          <w:szCs w:val="21"/>
        </w:rPr>
        <w:t>举例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848770E" w14:textId="2D04A3D1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181E1A" w:rsidRPr="00181E1A">
        <w:rPr>
          <w:rFonts w:ascii="宋体" w:eastAsia="宋体" w:hAnsi="宋体" w:cs="TimesNewRomanPSMT" w:hint="eastAsia"/>
          <w:color w:val="000000"/>
          <w:kern w:val="0"/>
          <w:szCs w:val="21"/>
        </w:rPr>
        <w:t>讨论</w:t>
      </w:r>
      <w:r w:rsidR="00181E1A">
        <w:rPr>
          <w:rFonts w:ascii="宋体" w:eastAsia="宋体" w:hAnsi="宋体" w:cs="TimesNewRomanPSMT" w:hint="eastAsia"/>
          <w:color w:val="000000"/>
          <w:kern w:val="0"/>
          <w:szCs w:val="21"/>
        </w:rPr>
        <w:t>公立医院</w:t>
      </w:r>
      <w:r w:rsidR="00181E1A" w:rsidRPr="00181E1A">
        <w:rPr>
          <w:rFonts w:ascii="宋体" w:eastAsia="宋体" w:hAnsi="宋体" w:cs="TimesNewRomanPSMT" w:hint="eastAsia"/>
          <w:color w:val="000000"/>
          <w:kern w:val="0"/>
          <w:szCs w:val="21"/>
        </w:rPr>
        <w:t>改革的效果及</w:t>
      </w:r>
      <w:r w:rsidR="00181E1A">
        <w:rPr>
          <w:rFonts w:ascii="宋体" w:eastAsia="宋体" w:hAnsi="宋体" w:cs="TimesNewRomanPSMT" w:hint="eastAsia"/>
          <w:color w:val="000000"/>
          <w:kern w:val="0"/>
          <w:szCs w:val="21"/>
        </w:rPr>
        <w:t>其后续</w:t>
      </w:r>
      <w:r w:rsidR="00181E1A" w:rsidRPr="00181E1A">
        <w:rPr>
          <w:rFonts w:ascii="宋体" w:eastAsia="宋体" w:hAnsi="宋体" w:cs="TimesNewRomanPSMT" w:hint="eastAsia"/>
          <w:color w:val="000000"/>
          <w:kern w:val="0"/>
          <w:szCs w:val="21"/>
        </w:rPr>
        <w:t>完善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1F0C2802" w14:textId="7880A1B7" w:rsidR="00C22623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第五章 </w:t>
      </w:r>
      <w:r w:rsidR="000F483A" w:rsidRPr="000F483A">
        <w:rPr>
          <w:rFonts w:ascii="黑体" w:eastAsia="黑体" w:hAnsi="黑体" w:cs="Times New Roman" w:hint="eastAsia"/>
          <w:b/>
          <w:sz w:val="24"/>
          <w:szCs w:val="24"/>
        </w:rPr>
        <w:t>企业职工基本养老保险的改革路径</w:t>
      </w:r>
    </w:p>
    <w:p w14:paraId="306798FD" w14:textId="10266854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）理解</w:t>
      </w:r>
      <w:r w:rsidR="004740B3" w:rsidRPr="00562973">
        <w:rPr>
          <w:rFonts w:ascii="宋体" w:eastAsia="宋体" w:hAnsi="宋体" w:cs="TimesNewRomanPSMT"/>
          <w:color w:val="000000"/>
          <w:kern w:val="0"/>
          <w:szCs w:val="21"/>
        </w:rPr>
        <w:t>企业职工基本养老保险资金筹集模式的选择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4740B3">
        <w:rPr>
          <w:rFonts w:ascii="宋体" w:eastAsia="宋体" w:hAnsi="宋体" w:cs="TimesNewRomanPSMT" w:hint="eastAsia"/>
          <w:color w:val="000000"/>
          <w:kern w:val="0"/>
          <w:szCs w:val="21"/>
        </w:rPr>
        <w:t>了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解</w:t>
      </w:r>
      <w:r w:rsidR="004740B3" w:rsidRPr="004740B3">
        <w:rPr>
          <w:rFonts w:ascii="宋体" w:eastAsia="宋体" w:hAnsi="宋体" w:cs="宋体" w:hint="eastAsia"/>
          <w:color w:val="000000"/>
          <w:kern w:val="0"/>
          <w:szCs w:val="21"/>
        </w:rPr>
        <w:t>企业职工基本养老保险制度的建立与发展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）掌握</w:t>
      </w:r>
      <w:r w:rsidR="004740B3" w:rsidRPr="004740B3">
        <w:rPr>
          <w:rFonts w:ascii="宋体" w:eastAsia="宋体" w:hAnsi="宋体" w:cs="宋体" w:hint="eastAsia"/>
          <w:color w:val="000000"/>
          <w:kern w:val="0"/>
          <w:szCs w:val="21"/>
        </w:rPr>
        <w:t>企业职工基本养老保险制度的主要问题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4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4740B3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4740B3" w:rsidRPr="004740B3">
        <w:rPr>
          <w:rFonts w:ascii="宋体" w:eastAsia="宋体" w:hAnsi="宋体" w:cs="宋体" w:hint="eastAsia"/>
          <w:color w:val="000000"/>
          <w:kern w:val="0"/>
          <w:szCs w:val="21"/>
        </w:rPr>
        <w:t>企业职工基本养老保险制度的解决方法与路径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1164E799" w14:textId="48E5B81A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0D2A7E" w:rsidRPr="004740B3">
        <w:rPr>
          <w:rFonts w:ascii="宋体" w:eastAsia="宋体" w:hAnsi="宋体" w:cs="宋体" w:hint="eastAsia"/>
          <w:color w:val="000000"/>
          <w:kern w:val="0"/>
          <w:szCs w:val="21"/>
        </w:rPr>
        <w:t>企业职工基本养老保险制度的主要问题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0D2A7E" w:rsidRPr="004740B3">
        <w:rPr>
          <w:rFonts w:ascii="宋体" w:eastAsia="宋体" w:hAnsi="宋体" w:cs="宋体" w:hint="eastAsia"/>
          <w:color w:val="000000"/>
          <w:kern w:val="0"/>
          <w:szCs w:val="21"/>
        </w:rPr>
        <w:t>企业职工基本养老保险制度的解决方法与路径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7158935" w14:textId="121E9D00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4740B3" w:rsidRPr="00562973">
        <w:rPr>
          <w:rFonts w:ascii="宋体" w:eastAsia="宋体" w:hAnsi="宋体" w:cs="TimesNewRomanPSMT"/>
          <w:color w:val="000000"/>
          <w:kern w:val="0"/>
          <w:szCs w:val="21"/>
        </w:rPr>
        <w:t>企业职工基本养老保险资金筹集模式的选择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4740B3" w:rsidRPr="004740B3">
        <w:rPr>
          <w:rFonts w:ascii="宋体" w:eastAsia="宋体" w:hAnsi="宋体" w:cs="宋体" w:hint="eastAsia"/>
          <w:color w:val="000000"/>
          <w:kern w:val="0"/>
          <w:szCs w:val="21"/>
        </w:rPr>
        <w:t>企业职工基本养老保险制度的建立与发展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4740B3" w:rsidRPr="004740B3">
        <w:rPr>
          <w:rFonts w:ascii="宋体" w:eastAsia="宋体" w:hAnsi="宋体" w:cs="宋体" w:hint="eastAsia"/>
          <w:color w:val="000000"/>
          <w:kern w:val="0"/>
          <w:szCs w:val="21"/>
        </w:rPr>
        <w:t>企业职工基本养老保险制度的主要问题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="004740B3" w:rsidRPr="004740B3">
        <w:rPr>
          <w:rFonts w:ascii="宋体" w:eastAsia="宋体" w:hAnsi="宋体" w:cs="宋体" w:hint="eastAsia"/>
          <w:color w:val="000000"/>
          <w:kern w:val="0"/>
          <w:szCs w:val="21"/>
        </w:rPr>
        <w:t>企业职工基本养老保险制度的解决方法与路径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03DB209" w14:textId="18942154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教学方法：讲授、讨论、举例。</w:t>
      </w:r>
    </w:p>
    <w:p w14:paraId="19E3DFCF" w14:textId="7D51AE8E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0F483A" w:rsidRPr="00562973">
        <w:rPr>
          <w:rFonts w:ascii="宋体" w:eastAsia="宋体" w:hAnsi="宋体" w:cs="TimesNewRomanPSMT"/>
          <w:color w:val="000000"/>
          <w:kern w:val="0"/>
          <w:szCs w:val="21"/>
        </w:rPr>
        <w:t>讨论在生育率大幅下降的背景之下，上述改革路径的实施效果、难点与应对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560DC830" w14:textId="59A7F9BE" w:rsidR="00C22623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第六章 </w:t>
      </w:r>
      <w:r w:rsidR="0039379C" w:rsidRPr="0039379C">
        <w:rPr>
          <w:rFonts w:ascii="黑体" w:eastAsia="黑体" w:hAnsi="黑体" w:cs="Times New Roman" w:hint="eastAsia"/>
          <w:b/>
          <w:sz w:val="24"/>
          <w:szCs w:val="24"/>
        </w:rPr>
        <w:t>希腊债务危机及其化解</w:t>
      </w:r>
    </w:p>
    <w:p w14:paraId="69C5B7EB" w14:textId="20C36F76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39379C">
        <w:rPr>
          <w:rFonts w:ascii="宋体" w:eastAsia="宋体" w:hAnsi="宋体" w:cs="TimesNewRomanPSMT" w:hint="eastAsia"/>
          <w:color w:val="000000"/>
          <w:kern w:val="0"/>
          <w:szCs w:val="21"/>
        </w:rPr>
        <w:t>理解</w:t>
      </w:r>
      <w:r w:rsidR="0039379C" w:rsidRPr="0039379C">
        <w:rPr>
          <w:rFonts w:ascii="宋体" w:eastAsia="宋体" w:hAnsi="宋体" w:cs="TimesNewRomanPSMT"/>
          <w:color w:val="000000"/>
          <w:kern w:val="0"/>
          <w:szCs w:val="21"/>
        </w:rPr>
        <w:t>希腊债务危机</w:t>
      </w:r>
      <w:r w:rsidR="0039379C">
        <w:rPr>
          <w:rFonts w:ascii="宋体" w:eastAsia="宋体" w:hAnsi="宋体" w:cs="TimesNewRomanPSMT" w:hint="eastAsia"/>
          <w:color w:val="000000"/>
          <w:kern w:val="0"/>
          <w:szCs w:val="21"/>
        </w:rPr>
        <w:t>的</w:t>
      </w:r>
      <w:r w:rsidR="0039379C" w:rsidRPr="0039379C">
        <w:rPr>
          <w:rFonts w:ascii="宋体" w:eastAsia="宋体" w:hAnsi="宋体" w:cs="TimesNewRomanPSMT"/>
          <w:color w:val="000000"/>
          <w:kern w:val="0"/>
          <w:szCs w:val="21"/>
        </w:rPr>
        <w:t>成因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39379C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="0039379C" w:rsidRPr="0039379C">
        <w:rPr>
          <w:rFonts w:ascii="宋体" w:eastAsia="宋体" w:hAnsi="宋体" w:cs="TimesNewRomanPSMT" w:hint="eastAsia"/>
          <w:color w:val="000000"/>
          <w:kern w:val="0"/>
          <w:szCs w:val="21"/>
        </w:rPr>
        <w:t>希腊债务危机的化解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612DB472" w14:textId="2770E7EA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 w:rsidRPr="007C4647">
        <w:rPr>
          <w:rFonts w:ascii="宋体" w:eastAsia="宋体" w:hAnsi="宋体" w:cs="TimesNewRomanPSMT" w:hint="eastAsia"/>
          <w:color w:val="000000"/>
          <w:kern w:val="0"/>
          <w:szCs w:val="21"/>
        </w:rPr>
        <w:t>：</w:t>
      </w:r>
      <w:r w:rsidR="0039379C" w:rsidRPr="007C4647">
        <w:rPr>
          <w:rFonts w:ascii="宋体" w:eastAsia="宋体" w:hAnsi="宋体" w:cs="TimesNewRomanPSMT" w:hint="eastAsia"/>
          <w:color w:val="000000"/>
          <w:kern w:val="0"/>
          <w:szCs w:val="21"/>
        </w:rPr>
        <w:t>从财政学视角分析援助效果不佳的原因</w:t>
      </w:r>
      <w:r w:rsidRPr="007C4647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31705FD8" w14:textId="699A1B8D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A03F70">
        <w:rPr>
          <w:rFonts w:ascii="宋体" w:eastAsia="宋体" w:hAnsi="宋体" w:cs="宋体" w:hint="eastAsia"/>
          <w:color w:val="000000"/>
          <w:kern w:val="0"/>
          <w:szCs w:val="21"/>
        </w:rPr>
        <w:t>公债的优缺点；（2）</w:t>
      </w:r>
      <w:r w:rsidR="0039379C" w:rsidRPr="0039379C">
        <w:rPr>
          <w:rFonts w:ascii="宋体" w:eastAsia="宋体" w:hAnsi="宋体" w:cs="TimesNewRomanPSMT"/>
          <w:color w:val="000000"/>
          <w:kern w:val="0"/>
          <w:szCs w:val="21"/>
        </w:rPr>
        <w:t>希腊债务危机成因分析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 w:rsidR="00A03F70"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39379C" w:rsidRPr="0039379C">
        <w:rPr>
          <w:rFonts w:ascii="宋体" w:eastAsia="宋体" w:hAnsi="宋体" w:cs="宋体" w:hint="eastAsia"/>
          <w:color w:val="000000"/>
          <w:kern w:val="0"/>
          <w:szCs w:val="21"/>
        </w:rPr>
        <w:t>援助及效果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 w:rsidR="00A03F70">
        <w:rPr>
          <w:rFonts w:ascii="宋体" w:eastAsia="宋体" w:hAnsi="宋体" w:cs="宋体"/>
          <w:color w:val="000000"/>
          <w:kern w:val="0"/>
          <w:szCs w:val="21"/>
        </w:rPr>
        <w:t>4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39379C" w:rsidRPr="0039379C">
        <w:rPr>
          <w:rFonts w:ascii="宋体" w:eastAsia="宋体" w:hAnsi="宋体" w:cs="TimesNewRomanPSMT" w:hint="eastAsia"/>
          <w:color w:val="000000"/>
          <w:kern w:val="0"/>
          <w:szCs w:val="21"/>
        </w:rPr>
        <w:t>希腊债务危机的化解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F19A08F" w14:textId="2D13DE7B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教学方法：讲授、讨论、比较。</w:t>
      </w:r>
    </w:p>
    <w:p w14:paraId="5531658A" w14:textId="3461F57F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39379C" w:rsidRPr="0039379C">
        <w:rPr>
          <w:rFonts w:ascii="宋体" w:eastAsia="宋体" w:hAnsi="宋体" w:cs="TimesNewRomanPSMT"/>
          <w:color w:val="000000"/>
          <w:kern w:val="0"/>
          <w:szCs w:val="21"/>
        </w:rPr>
        <w:t>分析“PIGS”债务危机的异同及化解方案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631145EF" w14:textId="08E6C0ED" w:rsidR="00C22623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第七章 </w:t>
      </w:r>
      <w:r w:rsidR="00881248" w:rsidRPr="00881248">
        <w:rPr>
          <w:rFonts w:ascii="黑体" w:eastAsia="黑体" w:hAnsi="黑体" w:cs="Times New Roman" w:hint="eastAsia"/>
          <w:b/>
          <w:sz w:val="24"/>
          <w:szCs w:val="24"/>
        </w:rPr>
        <w:t>“绿色”预算</w:t>
      </w:r>
    </w:p>
    <w:p w14:paraId="28B4C3C2" w14:textId="66C58979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C73CB8">
        <w:rPr>
          <w:rFonts w:ascii="宋体" w:eastAsia="宋体" w:hAnsi="宋体" w:cs="TimesNewRomanPSMT" w:hint="eastAsia"/>
          <w:color w:val="000000"/>
          <w:kern w:val="0"/>
          <w:szCs w:val="21"/>
        </w:rPr>
        <w:t>理解</w:t>
      </w:r>
      <w:r w:rsidR="00C73CB8" w:rsidRPr="00881248">
        <w:rPr>
          <w:rFonts w:ascii="宋体" w:eastAsia="宋体" w:hAnsi="宋体" w:cs="TimesNewRomanPSMT"/>
          <w:color w:val="000000"/>
          <w:kern w:val="0"/>
          <w:szCs w:val="21"/>
        </w:rPr>
        <w:t>政府预算视野下的可持续发展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C73CB8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="00C73CB8"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="00C73CB8" w:rsidRPr="002E51AF">
        <w:rPr>
          <w:rFonts w:ascii="宋体" w:eastAsia="宋体" w:hAnsi="宋体" w:cs="宋体" w:hint="eastAsia"/>
          <w:color w:val="000000"/>
          <w:kern w:val="0"/>
          <w:szCs w:val="21"/>
        </w:rPr>
        <w:t>绿色</w:t>
      </w:r>
      <w:r w:rsidR="00C73CB8">
        <w:rPr>
          <w:rFonts w:ascii="宋体" w:eastAsia="宋体" w:hAnsi="宋体" w:cs="宋体" w:hint="eastAsia"/>
          <w:color w:val="000000"/>
          <w:kern w:val="0"/>
          <w:szCs w:val="21"/>
        </w:rPr>
        <w:t>”预算的</w:t>
      </w:r>
      <w:r w:rsidR="00C73CB8" w:rsidRPr="002E51AF">
        <w:rPr>
          <w:rFonts w:ascii="宋体" w:eastAsia="宋体" w:hAnsi="宋体" w:cs="宋体" w:hint="eastAsia"/>
          <w:color w:val="000000"/>
          <w:kern w:val="0"/>
          <w:szCs w:val="21"/>
        </w:rPr>
        <w:t>科目设置及其变化发展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）了解</w:t>
      </w:r>
      <w:r w:rsidR="00C73CB8" w:rsidRPr="00881248">
        <w:rPr>
          <w:rFonts w:ascii="宋体" w:eastAsia="宋体" w:hAnsi="宋体" w:cs="TimesNewRomanPSMT" w:hint="eastAsia"/>
          <w:color w:val="000000"/>
          <w:kern w:val="0"/>
          <w:szCs w:val="21"/>
        </w:rPr>
        <w:t>“绿色”预算的规模及其发展变化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39C6AC77" w14:textId="61E88D0C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3A45C2" w:rsidRPr="00881248">
        <w:rPr>
          <w:rFonts w:ascii="宋体" w:eastAsia="宋体" w:hAnsi="宋体" w:cs="TimesNewRomanPSMT"/>
          <w:color w:val="000000"/>
          <w:kern w:val="0"/>
          <w:szCs w:val="21"/>
        </w:rPr>
        <w:t>政府预算视野下的可持续发展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5D3138B" w14:textId="5F34370D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7A4F04" w:rsidRPr="00881248">
        <w:rPr>
          <w:rFonts w:ascii="宋体" w:eastAsia="宋体" w:hAnsi="宋体" w:cs="TimesNewRomanPSMT"/>
          <w:color w:val="000000"/>
          <w:kern w:val="0"/>
          <w:szCs w:val="21"/>
        </w:rPr>
        <w:t>政府预算视野下的可持续发展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2E51AF"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="002E51AF" w:rsidRPr="002E51AF">
        <w:rPr>
          <w:rFonts w:ascii="宋体" w:eastAsia="宋体" w:hAnsi="宋体" w:cs="宋体" w:hint="eastAsia"/>
          <w:color w:val="000000"/>
          <w:kern w:val="0"/>
          <w:szCs w:val="21"/>
        </w:rPr>
        <w:t>绿色</w:t>
      </w:r>
      <w:r w:rsidR="002E51AF">
        <w:rPr>
          <w:rFonts w:ascii="宋体" w:eastAsia="宋体" w:hAnsi="宋体" w:cs="宋体" w:hint="eastAsia"/>
          <w:color w:val="000000"/>
          <w:kern w:val="0"/>
          <w:szCs w:val="21"/>
        </w:rPr>
        <w:t>”预算的</w:t>
      </w:r>
      <w:r w:rsidR="002E51AF" w:rsidRPr="002E51AF">
        <w:rPr>
          <w:rFonts w:ascii="宋体" w:eastAsia="宋体" w:hAnsi="宋体" w:cs="宋体" w:hint="eastAsia"/>
          <w:color w:val="000000"/>
          <w:kern w:val="0"/>
          <w:szCs w:val="21"/>
        </w:rPr>
        <w:t>科目设置及其变化发展</w:t>
      </w:r>
      <w:r w:rsidR="002E51AF"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2E51AF" w:rsidRPr="00881248">
        <w:rPr>
          <w:rFonts w:ascii="宋体" w:eastAsia="宋体" w:hAnsi="宋体" w:cs="TimesNewRomanPSMT" w:hint="eastAsia"/>
          <w:color w:val="000000"/>
          <w:kern w:val="0"/>
          <w:szCs w:val="21"/>
        </w:rPr>
        <w:t>“绿色”预算的规模及其发展变化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DA18BD1" w14:textId="450CA4B5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</w:t>
      </w:r>
      <w:r w:rsidR="008334BE">
        <w:rPr>
          <w:rFonts w:ascii="宋体" w:eastAsia="宋体" w:hAnsi="宋体" w:cs="宋体" w:hint="eastAsia"/>
          <w:color w:val="000000"/>
          <w:kern w:val="0"/>
          <w:szCs w:val="21"/>
        </w:rPr>
        <w:t>比较、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举例。</w:t>
      </w:r>
    </w:p>
    <w:p w14:paraId="197DC657" w14:textId="57C8D07E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2E51AF" w:rsidRPr="00881248">
        <w:rPr>
          <w:rFonts w:ascii="宋体" w:eastAsia="宋体" w:hAnsi="宋体" w:cs="TimesNewRomanPSMT"/>
          <w:color w:val="000000"/>
          <w:kern w:val="0"/>
          <w:szCs w:val="21"/>
        </w:rPr>
        <w:t>分析不同层级政府、不同区域政府“绿色”预算的占比及其变化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092EC349" w14:textId="463026BB" w:rsidR="00C22623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第八章 </w:t>
      </w:r>
      <w:r w:rsidR="008334BE" w:rsidRPr="008334BE">
        <w:rPr>
          <w:rFonts w:ascii="黑体" w:eastAsia="黑体" w:hAnsi="黑体" w:cs="Times New Roman" w:hint="eastAsia"/>
          <w:b/>
          <w:sz w:val="24"/>
          <w:szCs w:val="24"/>
        </w:rPr>
        <w:t>民生预算</w:t>
      </w:r>
    </w:p>
    <w:p w14:paraId="62068C87" w14:textId="282DF24E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622B21">
        <w:rPr>
          <w:rFonts w:ascii="宋体" w:eastAsia="宋体" w:hAnsi="宋体" w:cs="TimesNewRomanPSMT" w:hint="eastAsia"/>
          <w:color w:val="000000"/>
          <w:kern w:val="0"/>
          <w:szCs w:val="21"/>
        </w:rPr>
        <w:t>理解</w:t>
      </w:r>
      <w:r w:rsidR="00622B21" w:rsidRPr="008334BE">
        <w:rPr>
          <w:rFonts w:ascii="宋体" w:eastAsia="宋体" w:hAnsi="宋体" w:cs="TimesNewRomanPSMT"/>
          <w:color w:val="000000"/>
          <w:kern w:val="0"/>
          <w:szCs w:val="21"/>
        </w:rPr>
        <w:t>民生预算的提出与内涵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622B21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="00622B21" w:rsidRPr="008334BE">
        <w:rPr>
          <w:rFonts w:ascii="宋体" w:eastAsia="宋体" w:hAnsi="宋体" w:cs="宋体" w:hint="eastAsia"/>
          <w:color w:val="000000"/>
          <w:kern w:val="0"/>
          <w:szCs w:val="21"/>
        </w:rPr>
        <w:t>民生预算的科目设置及其发展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622B21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="00622B21" w:rsidRPr="008334BE">
        <w:rPr>
          <w:rFonts w:ascii="宋体" w:eastAsia="宋体" w:hAnsi="宋体" w:cs="TimesNewRomanPSMT" w:hint="eastAsia"/>
          <w:color w:val="000000"/>
          <w:kern w:val="0"/>
          <w:szCs w:val="21"/>
        </w:rPr>
        <w:t>民生预算的规模及其发展变化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3049FC0C" w14:textId="1DC613D8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622B21" w:rsidRPr="00622B21">
        <w:rPr>
          <w:rFonts w:ascii="宋体" w:eastAsia="宋体" w:hAnsi="宋体" w:cs="宋体" w:hint="eastAsia"/>
          <w:color w:val="000000"/>
          <w:kern w:val="0"/>
          <w:szCs w:val="21"/>
        </w:rPr>
        <w:t>民生预算的内涵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21572C82" w14:textId="7E306A10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8334BE" w:rsidRPr="008334BE">
        <w:rPr>
          <w:rFonts w:ascii="宋体" w:eastAsia="宋体" w:hAnsi="宋体" w:cs="TimesNewRomanPSMT"/>
          <w:color w:val="000000"/>
          <w:kern w:val="0"/>
          <w:szCs w:val="21"/>
        </w:rPr>
        <w:t>民生预算的提出与内涵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8334BE" w:rsidRPr="008334BE">
        <w:rPr>
          <w:rFonts w:ascii="宋体" w:eastAsia="宋体" w:hAnsi="宋体" w:cs="宋体" w:hint="eastAsia"/>
          <w:color w:val="000000"/>
          <w:kern w:val="0"/>
          <w:szCs w:val="21"/>
        </w:rPr>
        <w:t>民生预算的科目设置及其发展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622B21" w:rsidRPr="008334BE">
        <w:rPr>
          <w:rFonts w:ascii="宋体" w:eastAsia="宋体" w:hAnsi="宋体" w:cs="TimesNewRomanPSMT" w:hint="eastAsia"/>
          <w:color w:val="000000"/>
          <w:kern w:val="0"/>
          <w:szCs w:val="21"/>
        </w:rPr>
        <w:t>民生预算的规模及其发展变化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28532A08" w14:textId="5AA0141A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</w:t>
      </w:r>
      <w:r w:rsidR="008334BE">
        <w:rPr>
          <w:rFonts w:ascii="宋体" w:eastAsia="宋体" w:hAnsi="宋体" w:cs="宋体" w:hint="eastAsia"/>
          <w:color w:val="000000"/>
          <w:kern w:val="0"/>
          <w:szCs w:val="21"/>
        </w:rPr>
        <w:t>比较、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举例。</w:t>
      </w:r>
    </w:p>
    <w:p w14:paraId="19802E3B" w14:textId="59FD1A00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622B21" w:rsidRPr="008334BE">
        <w:rPr>
          <w:rFonts w:ascii="宋体" w:eastAsia="宋体" w:hAnsi="宋体" w:cs="TimesNewRomanPSMT"/>
          <w:color w:val="000000"/>
          <w:kern w:val="0"/>
          <w:szCs w:val="21"/>
        </w:rPr>
        <w:t>分析不同层级政府、不同区域政府民生预算的占比及其发展变化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657A3F2F" w14:textId="6496A92B" w:rsidR="00C22623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第九章 </w:t>
      </w:r>
      <w:r w:rsidR="009E6E9D" w:rsidRPr="009E6E9D">
        <w:rPr>
          <w:rFonts w:ascii="黑体" w:eastAsia="黑体" w:hAnsi="黑体" w:cs="Times New Roman" w:hint="eastAsia"/>
          <w:b/>
          <w:sz w:val="24"/>
          <w:szCs w:val="24"/>
        </w:rPr>
        <w:t>后</w:t>
      </w:r>
      <w:proofErr w:type="gramStart"/>
      <w:r w:rsidR="009E6E9D" w:rsidRPr="009E6E9D">
        <w:rPr>
          <w:rFonts w:ascii="黑体" w:eastAsia="黑体" w:hAnsi="黑体" w:cs="Times New Roman" w:hint="eastAsia"/>
          <w:b/>
          <w:sz w:val="24"/>
          <w:szCs w:val="24"/>
        </w:rPr>
        <w:t>营改增时代</w:t>
      </w:r>
      <w:r w:rsidR="009E6E9D">
        <w:rPr>
          <w:rFonts w:ascii="黑体" w:eastAsia="黑体" w:hAnsi="黑体" w:cs="Times New Roman" w:hint="eastAsia"/>
          <w:b/>
          <w:sz w:val="24"/>
          <w:szCs w:val="24"/>
        </w:rPr>
        <w:t>的</w:t>
      </w:r>
      <w:r w:rsidR="009E6E9D" w:rsidRPr="009E6E9D">
        <w:rPr>
          <w:rFonts w:ascii="黑体" w:eastAsia="黑体" w:hAnsi="黑体" w:cs="Times New Roman" w:hint="eastAsia"/>
          <w:b/>
          <w:sz w:val="24"/>
          <w:szCs w:val="24"/>
        </w:rPr>
        <w:t>央地</w:t>
      </w:r>
      <w:proofErr w:type="gramEnd"/>
      <w:r w:rsidR="009E6E9D" w:rsidRPr="009E6E9D">
        <w:rPr>
          <w:rFonts w:ascii="黑体" w:eastAsia="黑体" w:hAnsi="黑体" w:cs="Times New Roman" w:hint="eastAsia"/>
          <w:b/>
          <w:sz w:val="24"/>
          <w:szCs w:val="24"/>
        </w:rPr>
        <w:t>关系</w:t>
      </w:r>
    </w:p>
    <w:p w14:paraId="1DD6DF4B" w14:textId="3B4A1BEB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proofErr w:type="gramStart"/>
      <w:r w:rsidR="009E6E9D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="009E6E9D" w:rsidRPr="009E6E9D">
        <w:rPr>
          <w:rFonts w:ascii="宋体" w:eastAsia="宋体" w:hAnsi="宋体" w:cs="宋体" w:hint="eastAsia"/>
          <w:color w:val="000000"/>
          <w:kern w:val="0"/>
          <w:szCs w:val="21"/>
        </w:rPr>
        <w:t>央地关系</w:t>
      </w:r>
      <w:proofErr w:type="gramEnd"/>
      <w:r w:rsidR="009E6E9D">
        <w:rPr>
          <w:rFonts w:ascii="宋体" w:eastAsia="宋体" w:hAnsi="宋体" w:cs="宋体" w:hint="eastAsia"/>
          <w:color w:val="000000"/>
          <w:kern w:val="0"/>
          <w:szCs w:val="21"/>
        </w:rPr>
        <w:t>的</w:t>
      </w:r>
      <w:r w:rsidR="009E6E9D" w:rsidRPr="009E6E9D">
        <w:rPr>
          <w:rFonts w:ascii="宋体" w:eastAsia="宋体" w:hAnsi="宋体" w:cs="宋体" w:hint="eastAsia"/>
          <w:color w:val="000000"/>
          <w:kern w:val="0"/>
          <w:szCs w:val="21"/>
        </w:rPr>
        <w:t>演进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；（2）</w:t>
      </w:r>
      <w:r w:rsidR="009E6E9D">
        <w:rPr>
          <w:rFonts w:ascii="宋体" w:eastAsia="宋体" w:hAnsi="宋体" w:cs="TimesNewRomanPSMT" w:hint="eastAsia"/>
          <w:color w:val="000000"/>
          <w:kern w:val="0"/>
          <w:szCs w:val="21"/>
        </w:rPr>
        <w:t>理解</w:t>
      </w:r>
      <w:proofErr w:type="gramStart"/>
      <w:r w:rsidR="009E6E9D" w:rsidRPr="009E6E9D">
        <w:rPr>
          <w:rFonts w:ascii="宋体" w:eastAsia="宋体" w:hAnsi="宋体" w:cs="TimesNewRomanPSMT"/>
          <w:color w:val="000000"/>
          <w:kern w:val="0"/>
          <w:szCs w:val="21"/>
        </w:rPr>
        <w:t>营改增</w:t>
      </w:r>
      <w:proofErr w:type="gramEnd"/>
      <w:r w:rsidR="009E6E9D" w:rsidRPr="009E6E9D">
        <w:rPr>
          <w:rFonts w:ascii="宋体" w:eastAsia="宋体" w:hAnsi="宋体" w:cs="TimesNewRomanPSMT"/>
          <w:color w:val="000000"/>
          <w:kern w:val="0"/>
          <w:szCs w:val="21"/>
        </w:rPr>
        <w:t>的原因及效果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；（3）</w:t>
      </w:r>
      <w:r w:rsidR="009E6E9D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="009E6E9D" w:rsidRPr="009E6E9D">
        <w:rPr>
          <w:rFonts w:ascii="宋体" w:eastAsia="宋体" w:hAnsi="宋体" w:cs="TimesNewRomanPSMT" w:hint="eastAsia"/>
          <w:color w:val="000000"/>
          <w:kern w:val="0"/>
          <w:szCs w:val="21"/>
        </w:rPr>
        <w:t>后</w:t>
      </w:r>
      <w:proofErr w:type="gramStart"/>
      <w:r w:rsidR="009E6E9D" w:rsidRPr="009E6E9D">
        <w:rPr>
          <w:rFonts w:ascii="宋体" w:eastAsia="宋体" w:hAnsi="宋体" w:cs="TimesNewRomanPSMT" w:hint="eastAsia"/>
          <w:color w:val="000000"/>
          <w:kern w:val="0"/>
          <w:szCs w:val="21"/>
        </w:rPr>
        <w:t>营改增时代的央地财政</w:t>
      </w:r>
      <w:proofErr w:type="gramEnd"/>
      <w:r w:rsidR="009E6E9D" w:rsidRPr="009E6E9D">
        <w:rPr>
          <w:rFonts w:ascii="宋体" w:eastAsia="宋体" w:hAnsi="宋体" w:cs="TimesNewRomanPSMT" w:hint="eastAsia"/>
          <w:color w:val="000000"/>
          <w:kern w:val="0"/>
          <w:szCs w:val="21"/>
        </w:rPr>
        <w:t>状况分析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；（4）</w:t>
      </w:r>
      <w:r w:rsidR="009E6E9D">
        <w:rPr>
          <w:rFonts w:ascii="宋体" w:eastAsia="宋体" w:hAnsi="宋体" w:cs="TimesNewRomanPSMT" w:hint="eastAsia"/>
          <w:color w:val="000000"/>
          <w:kern w:val="0"/>
          <w:szCs w:val="21"/>
        </w:rPr>
        <w:t>理解</w:t>
      </w:r>
      <w:r w:rsidR="009E6E9D" w:rsidRPr="009E6E9D">
        <w:rPr>
          <w:rFonts w:ascii="宋体" w:eastAsia="宋体" w:hAnsi="宋体" w:cs="TimesNewRomanPSMT" w:hint="eastAsia"/>
          <w:color w:val="000000"/>
          <w:kern w:val="0"/>
          <w:szCs w:val="21"/>
        </w:rPr>
        <w:t>后</w:t>
      </w:r>
      <w:proofErr w:type="gramStart"/>
      <w:r w:rsidR="009E6E9D" w:rsidRPr="009E6E9D">
        <w:rPr>
          <w:rFonts w:ascii="宋体" w:eastAsia="宋体" w:hAnsi="宋体" w:cs="TimesNewRomanPSMT" w:hint="eastAsia"/>
          <w:color w:val="000000"/>
          <w:kern w:val="0"/>
          <w:szCs w:val="21"/>
        </w:rPr>
        <w:t>营改增时代</w:t>
      </w:r>
      <w:proofErr w:type="gramEnd"/>
      <w:r w:rsidR="009E6E9D" w:rsidRPr="009E6E9D">
        <w:rPr>
          <w:rFonts w:ascii="宋体" w:eastAsia="宋体" w:hAnsi="宋体" w:cs="TimesNewRomanPSMT" w:hint="eastAsia"/>
          <w:color w:val="000000"/>
          <w:kern w:val="0"/>
          <w:szCs w:val="21"/>
        </w:rPr>
        <w:t>地方税体系的完善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57410554" w14:textId="667F4473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9E6E9D" w:rsidRPr="009E6E9D">
        <w:rPr>
          <w:rFonts w:ascii="宋体" w:eastAsia="宋体" w:hAnsi="宋体" w:cs="TimesNewRomanPSMT"/>
          <w:color w:val="000000"/>
          <w:kern w:val="0"/>
          <w:szCs w:val="21"/>
        </w:rPr>
        <w:t>营改增的原因及效果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9E6E9D" w:rsidRPr="009E6E9D">
        <w:rPr>
          <w:rFonts w:ascii="宋体" w:eastAsia="宋体" w:hAnsi="宋体" w:cs="TimesNewRomanPSMT" w:hint="eastAsia"/>
          <w:color w:val="000000"/>
          <w:kern w:val="0"/>
          <w:szCs w:val="21"/>
        </w:rPr>
        <w:t>后营改增时代地方税体系的完善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476537C" w14:textId="16E0C281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proofErr w:type="gramStart"/>
      <w:r w:rsidR="009E6E9D" w:rsidRPr="009E6E9D">
        <w:rPr>
          <w:rFonts w:ascii="宋体" w:eastAsia="宋体" w:hAnsi="宋体" w:cs="宋体" w:hint="eastAsia"/>
          <w:color w:val="000000"/>
          <w:kern w:val="0"/>
          <w:szCs w:val="21"/>
        </w:rPr>
        <w:t>央地关系</w:t>
      </w:r>
      <w:proofErr w:type="gramEnd"/>
      <w:r w:rsidR="009E6E9D">
        <w:rPr>
          <w:rFonts w:ascii="宋体" w:eastAsia="宋体" w:hAnsi="宋体" w:cs="宋体" w:hint="eastAsia"/>
          <w:color w:val="000000"/>
          <w:kern w:val="0"/>
          <w:szCs w:val="21"/>
        </w:rPr>
        <w:t>的</w:t>
      </w:r>
      <w:r w:rsidR="009E6E9D" w:rsidRPr="009E6E9D">
        <w:rPr>
          <w:rFonts w:ascii="宋体" w:eastAsia="宋体" w:hAnsi="宋体" w:cs="宋体" w:hint="eastAsia"/>
          <w:color w:val="000000"/>
          <w:kern w:val="0"/>
          <w:szCs w:val="21"/>
        </w:rPr>
        <w:t>演进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9E6E9D" w:rsidRPr="009E6E9D">
        <w:rPr>
          <w:rFonts w:ascii="宋体" w:eastAsia="宋体" w:hAnsi="宋体" w:cs="TimesNewRomanPSMT"/>
          <w:color w:val="000000"/>
          <w:kern w:val="0"/>
          <w:szCs w:val="21"/>
        </w:rPr>
        <w:t>营改增的原因及效果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9E6E9D" w:rsidRPr="009E6E9D">
        <w:rPr>
          <w:rFonts w:ascii="宋体" w:eastAsia="宋体" w:hAnsi="宋体" w:cs="TimesNewRomanPSMT" w:hint="eastAsia"/>
          <w:color w:val="000000"/>
          <w:kern w:val="0"/>
          <w:szCs w:val="21"/>
        </w:rPr>
        <w:t>后营改增时代</w:t>
      </w:r>
      <w:proofErr w:type="gramStart"/>
      <w:r w:rsidR="009E6E9D" w:rsidRPr="009E6E9D">
        <w:rPr>
          <w:rFonts w:ascii="宋体" w:eastAsia="宋体" w:hAnsi="宋体" w:cs="TimesNewRomanPSMT" w:hint="eastAsia"/>
          <w:color w:val="000000"/>
          <w:kern w:val="0"/>
          <w:szCs w:val="21"/>
        </w:rPr>
        <w:t>的央地财政</w:t>
      </w:r>
      <w:proofErr w:type="gramEnd"/>
      <w:r w:rsidR="009E6E9D" w:rsidRPr="009E6E9D">
        <w:rPr>
          <w:rFonts w:ascii="宋体" w:eastAsia="宋体" w:hAnsi="宋体" w:cs="TimesNewRomanPSMT" w:hint="eastAsia"/>
          <w:color w:val="000000"/>
          <w:kern w:val="0"/>
          <w:szCs w:val="21"/>
        </w:rPr>
        <w:t>状况分析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="009E6E9D" w:rsidRPr="009E6E9D">
        <w:rPr>
          <w:rFonts w:ascii="宋体" w:eastAsia="宋体" w:hAnsi="宋体" w:cs="TimesNewRomanPSMT" w:hint="eastAsia"/>
          <w:color w:val="000000"/>
          <w:kern w:val="0"/>
          <w:szCs w:val="21"/>
        </w:rPr>
        <w:t>后营改增时代地方税体系的完善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A6DB26E" w14:textId="6E2EDE25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教学方法：讲授、讨论、比较。</w:t>
      </w:r>
    </w:p>
    <w:p w14:paraId="5D6325DD" w14:textId="7018457E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9E6E9D" w:rsidRPr="009E6E9D">
        <w:rPr>
          <w:rFonts w:ascii="宋体" w:eastAsia="宋体" w:hAnsi="宋体" w:cs="TimesNewRomanPSMT"/>
          <w:color w:val="000000"/>
          <w:kern w:val="0"/>
          <w:szCs w:val="21"/>
        </w:rPr>
        <w:t>从消费者、企业、政府等多重角度思考营改增的影响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40CB7856" w14:textId="77777777" w:rsidR="00C22623" w:rsidRDefault="00000000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58D4639E" w14:textId="77777777" w:rsidR="00C22623" w:rsidRDefault="00000000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b"/>
        <w:tblW w:w="8075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3942"/>
        <w:gridCol w:w="1870"/>
      </w:tblGrid>
      <w:tr w:rsidR="00C22623" w14:paraId="3EEC6D6E" w14:textId="77777777" w:rsidTr="00ED5DA8">
        <w:trPr>
          <w:trHeight w:val="338"/>
          <w:jc w:val="center"/>
        </w:trPr>
        <w:tc>
          <w:tcPr>
            <w:tcW w:w="2263" w:type="dxa"/>
            <w:vAlign w:val="center"/>
          </w:tcPr>
          <w:p w14:paraId="66FE7F36" w14:textId="77777777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3942" w:type="dxa"/>
            <w:vAlign w:val="center"/>
          </w:tcPr>
          <w:p w14:paraId="4C631A26" w14:textId="77777777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1870" w:type="dxa"/>
            <w:vAlign w:val="center"/>
          </w:tcPr>
          <w:p w14:paraId="10EF145A" w14:textId="77777777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C22623" w14:paraId="0911236A" w14:textId="77777777" w:rsidTr="00ED5DA8">
        <w:trPr>
          <w:trHeight w:val="338"/>
          <w:jc w:val="center"/>
        </w:trPr>
        <w:tc>
          <w:tcPr>
            <w:tcW w:w="2263" w:type="dxa"/>
            <w:vAlign w:val="center"/>
          </w:tcPr>
          <w:p w14:paraId="0F2ED94D" w14:textId="77777777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第一章 </w:t>
            </w:r>
          </w:p>
        </w:tc>
        <w:tc>
          <w:tcPr>
            <w:tcW w:w="3942" w:type="dxa"/>
            <w:vAlign w:val="center"/>
          </w:tcPr>
          <w:p w14:paraId="13530544" w14:textId="435E9ED1" w:rsidR="00C22623" w:rsidRDefault="00ED5DA8">
            <w:pPr>
              <w:widowControl/>
              <w:jc w:val="center"/>
              <w:rPr>
                <w:rFonts w:ascii="宋体" w:eastAsia="宋体" w:hAnsi="宋体"/>
              </w:rPr>
            </w:pPr>
            <w:r w:rsidRPr="00D75DBC">
              <w:rPr>
                <w:rFonts w:ascii="宋体" w:eastAsia="宋体" w:hAnsi="宋体" w:hint="eastAsia"/>
              </w:rPr>
              <w:t>区块链技术在税收征管中的应用</w:t>
            </w:r>
          </w:p>
        </w:tc>
        <w:tc>
          <w:tcPr>
            <w:tcW w:w="1870" w:type="dxa"/>
            <w:vAlign w:val="center"/>
          </w:tcPr>
          <w:p w14:paraId="72FDAE35" w14:textId="2B34561E" w:rsidR="00C22623" w:rsidRDefault="00ED5DA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C22623" w14:paraId="2CB47A7F" w14:textId="77777777" w:rsidTr="00ED5DA8">
        <w:trPr>
          <w:trHeight w:val="338"/>
          <w:jc w:val="center"/>
        </w:trPr>
        <w:tc>
          <w:tcPr>
            <w:tcW w:w="2263" w:type="dxa"/>
            <w:vAlign w:val="center"/>
          </w:tcPr>
          <w:p w14:paraId="71884C3B" w14:textId="77777777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第二章 </w:t>
            </w:r>
          </w:p>
        </w:tc>
        <w:tc>
          <w:tcPr>
            <w:tcW w:w="3942" w:type="dxa"/>
            <w:vAlign w:val="center"/>
          </w:tcPr>
          <w:p w14:paraId="14E17284" w14:textId="7B3185D7" w:rsidR="00C22623" w:rsidRDefault="00ED5DA8">
            <w:pPr>
              <w:widowControl/>
              <w:jc w:val="center"/>
              <w:rPr>
                <w:rFonts w:ascii="宋体" w:eastAsia="宋体" w:hAnsi="宋体"/>
              </w:rPr>
            </w:pPr>
            <w:r w:rsidRPr="00D75DBC">
              <w:rPr>
                <w:rFonts w:ascii="宋体" w:eastAsia="宋体" w:hAnsi="宋体" w:hint="eastAsia"/>
              </w:rPr>
              <w:t>促进企业研发创新的税收激励政策</w:t>
            </w:r>
          </w:p>
        </w:tc>
        <w:tc>
          <w:tcPr>
            <w:tcW w:w="1870" w:type="dxa"/>
            <w:vAlign w:val="center"/>
          </w:tcPr>
          <w:p w14:paraId="27F2E7D4" w14:textId="4FAF8C6E" w:rsidR="00C22623" w:rsidRDefault="00ED5DA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10</w:t>
            </w:r>
          </w:p>
        </w:tc>
      </w:tr>
      <w:tr w:rsidR="00C22623" w14:paraId="254380D9" w14:textId="77777777" w:rsidTr="00ED5DA8">
        <w:trPr>
          <w:trHeight w:val="338"/>
          <w:jc w:val="center"/>
        </w:trPr>
        <w:tc>
          <w:tcPr>
            <w:tcW w:w="2263" w:type="dxa"/>
            <w:vAlign w:val="center"/>
          </w:tcPr>
          <w:p w14:paraId="22CC22BF" w14:textId="77777777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第三章 </w:t>
            </w:r>
          </w:p>
        </w:tc>
        <w:tc>
          <w:tcPr>
            <w:tcW w:w="3942" w:type="dxa"/>
            <w:vAlign w:val="center"/>
          </w:tcPr>
          <w:p w14:paraId="0C5DAD3E" w14:textId="11F59C08" w:rsidR="00C22623" w:rsidRDefault="00ED5DA8">
            <w:pPr>
              <w:widowControl/>
              <w:jc w:val="center"/>
              <w:rPr>
                <w:rFonts w:ascii="宋体" w:eastAsia="宋体" w:hAnsi="宋体"/>
              </w:rPr>
            </w:pPr>
            <w:r w:rsidRPr="007B4DB8">
              <w:rPr>
                <w:rFonts w:ascii="宋体" w:eastAsia="宋体" w:hAnsi="宋体" w:hint="eastAsia"/>
              </w:rPr>
              <w:t>税务部门</w:t>
            </w:r>
            <w:proofErr w:type="gramStart"/>
            <w:r w:rsidRPr="007B4DB8">
              <w:rPr>
                <w:rFonts w:ascii="宋体" w:eastAsia="宋体" w:hAnsi="宋体" w:hint="eastAsia"/>
              </w:rPr>
              <w:t>征管非</w:t>
            </w:r>
            <w:proofErr w:type="gramEnd"/>
            <w:r w:rsidRPr="007B4DB8">
              <w:rPr>
                <w:rFonts w:ascii="宋体" w:eastAsia="宋体" w:hAnsi="宋体" w:hint="eastAsia"/>
              </w:rPr>
              <w:t>税收入的实现路径</w:t>
            </w:r>
          </w:p>
        </w:tc>
        <w:tc>
          <w:tcPr>
            <w:tcW w:w="1870" w:type="dxa"/>
            <w:vAlign w:val="center"/>
          </w:tcPr>
          <w:p w14:paraId="00CBCB51" w14:textId="549125C5" w:rsidR="00C22623" w:rsidRDefault="00ED5DA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C22623" w14:paraId="6EDDB8DA" w14:textId="77777777" w:rsidTr="00ED5DA8">
        <w:trPr>
          <w:trHeight w:val="338"/>
          <w:jc w:val="center"/>
        </w:trPr>
        <w:tc>
          <w:tcPr>
            <w:tcW w:w="2263" w:type="dxa"/>
            <w:vAlign w:val="center"/>
          </w:tcPr>
          <w:p w14:paraId="29B2D4EF" w14:textId="77777777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第四章 </w:t>
            </w:r>
          </w:p>
        </w:tc>
        <w:tc>
          <w:tcPr>
            <w:tcW w:w="3942" w:type="dxa"/>
            <w:vAlign w:val="center"/>
          </w:tcPr>
          <w:p w14:paraId="4C9F9A78" w14:textId="6AC9686A" w:rsidR="00C22623" w:rsidRDefault="00ED5DA8">
            <w:pPr>
              <w:widowControl/>
              <w:jc w:val="center"/>
              <w:rPr>
                <w:rFonts w:ascii="宋体" w:eastAsia="宋体" w:hAnsi="宋体"/>
              </w:rPr>
            </w:pPr>
            <w:r w:rsidRPr="00D75DBC">
              <w:rPr>
                <w:rFonts w:ascii="宋体" w:eastAsia="宋体" w:hAnsi="宋体" w:hint="eastAsia"/>
              </w:rPr>
              <w:t>财政学视角下公立医院的体制改革</w:t>
            </w:r>
          </w:p>
        </w:tc>
        <w:tc>
          <w:tcPr>
            <w:tcW w:w="1870" w:type="dxa"/>
            <w:vAlign w:val="center"/>
          </w:tcPr>
          <w:p w14:paraId="21F5D449" w14:textId="784BBB08" w:rsidR="00C22623" w:rsidRDefault="00ED5DA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C22623" w14:paraId="7AE5C2CB" w14:textId="77777777" w:rsidTr="00ED5DA8">
        <w:trPr>
          <w:trHeight w:val="338"/>
          <w:jc w:val="center"/>
        </w:trPr>
        <w:tc>
          <w:tcPr>
            <w:tcW w:w="2263" w:type="dxa"/>
            <w:vAlign w:val="center"/>
          </w:tcPr>
          <w:p w14:paraId="4B097636" w14:textId="77777777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第五章 </w:t>
            </w:r>
          </w:p>
        </w:tc>
        <w:tc>
          <w:tcPr>
            <w:tcW w:w="3942" w:type="dxa"/>
            <w:vAlign w:val="center"/>
          </w:tcPr>
          <w:p w14:paraId="4508C890" w14:textId="20AA2156" w:rsidR="00C22623" w:rsidRDefault="00ED5DA8">
            <w:pPr>
              <w:jc w:val="center"/>
              <w:rPr>
                <w:rFonts w:ascii="宋体" w:eastAsia="宋体" w:hAnsi="宋体"/>
              </w:rPr>
            </w:pPr>
            <w:r w:rsidRPr="00D75DBC">
              <w:rPr>
                <w:rFonts w:ascii="宋体" w:eastAsia="宋体" w:hAnsi="宋体" w:hint="eastAsia"/>
              </w:rPr>
              <w:t>企业职工基本养老保险制度改革</w:t>
            </w:r>
          </w:p>
        </w:tc>
        <w:tc>
          <w:tcPr>
            <w:tcW w:w="1870" w:type="dxa"/>
            <w:vAlign w:val="center"/>
          </w:tcPr>
          <w:p w14:paraId="7D031912" w14:textId="2254C13A" w:rsidR="00C22623" w:rsidRDefault="00ED5DA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C22623" w14:paraId="4C25068E" w14:textId="77777777" w:rsidTr="00ED5DA8">
        <w:trPr>
          <w:trHeight w:val="338"/>
          <w:jc w:val="center"/>
        </w:trPr>
        <w:tc>
          <w:tcPr>
            <w:tcW w:w="2263" w:type="dxa"/>
            <w:vAlign w:val="center"/>
          </w:tcPr>
          <w:p w14:paraId="5B6EDE4E" w14:textId="77777777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 xml:space="preserve">第六章 </w:t>
            </w:r>
          </w:p>
        </w:tc>
        <w:tc>
          <w:tcPr>
            <w:tcW w:w="3942" w:type="dxa"/>
            <w:vAlign w:val="center"/>
          </w:tcPr>
          <w:p w14:paraId="47533A37" w14:textId="72D84CC0" w:rsidR="00C22623" w:rsidRDefault="00ED5DA8">
            <w:pPr>
              <w:jc w:val="center"/>
              <w:rPr>
                <w:rFonts w:ascii="宋体" w:eastAsia="宋体" w:hAnsi="宋体"/>
              </w:rPr>
            </w:pPr>
            <w:r w:rsidRPr="00D75DBC">
              <w:rPr>
                <w:rFonts w:ascii="宋体" w:eastAsia="宋体" w:hAnsi="宋体" w:hint="eastAsia"/>
              </w:rPr>
              <w:t>希腊债务危机及其化解</w:t>
            </w:r>
          </w:p>
        </w:tc>
        <w:tc>
          <w:tcPr>
            <w:tcW w:w="1870" w:type="dxa"/>
            <w:vAlign w:val="center"/>
          </w:tcPr>
          <w:p w14:paraId="5EED2EB0" w14:textId="3D68F55B" w:rsidR="00C22623" w:rsidRDefault="00ED5DA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C22623" w14:paraId="0A54E157" w14:textId="77777777" w:rsidTr="00ED5DA8">
        <w:trPr>
          <w:trHeight w:val="338"/>
          <w:jc w:val="center"/>
        </w:trPr>
        <w:tc>
          <w:tcPr>
            <w:tcW w:w="2263" w:type="dxa"/>
            <w:vAlign w:val="center"/>
          </w:tcPr>
          <w:p w14:paraId="43794FA6" w14:textId="77777777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第七章 </w:t>
            </w:r>
          </w:p>
        </w:tc>
        <w:tc>
          <w:tcPr>
            <w:tcW w:w="3942" w:type="dxa"/>
            <w:vAlign w:val="center"/>
          </w:tcPr>
          <w:p w14:paraId="1FF179E2" w14:textId="6B3303A2" w:rsidR="00C22623" w:rsidRDefault="00ED5DA8">
            <w:pPr>
              <w:widowControl/>
              <w:jc w:val="center"/>
              <w:rPr>
                <w:rFonts w:ascii="宋体" w:eastAsia="宋体" w:hAnsi="宋体"/>
              </w:rPr>
            </w:pPr>
            <w:r w:rsidRPr="00D75DBC">
              <w:rPr>
                <w:rFonts w:ascii="宋体" w:eastAsia="宋体" w:hAnsi="宋体" w:hint="eastAsia"/>
              </w:rPr>
              <w:t>“绿色”预算</w:t>
            </w:r>
          </w:p>
        </w:tc>
        <w:tc>
          <w:tcPr>
            <w:tcW w:w="1870" w:type="dxa"/>
            <w:vAlign w:val="center"/>
          </w:tcPr>
          <w:p w14:paraId="0DDDA022" w14:textId="0F5728A2" w:rsidR="00C22623" w:rsidRDefault="00ED5DA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C22623" w14:paraId="5F183B10" w14:textId="77777777" w:rsidTr="00ED5DA8">
        <w:trPr>
          <w:trHeight w:val="338"/>
          <w:jc w:val="center"/>
        </w:trPr>
        <w:tc>
          <w:tcPr>
            <w:tcW w:w="2263" w:type="dxa"/>
            <w:vAlign w:val="center"/>
          </w:tcPr>
          <w:p w14:paraId="755587CA" w14:textId="77777777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第八章 </w:t>
            </w:r>
          </w:p>
        </w:tc>
        <w:tc>
          <w:tcPr>
            <w:tcW w:w="3942" w:type="dxa"/>
            <w:vAlign w:val="center"/>
          </w:tcPr>
          <w:p w14:paraId="6D4751A2" w14:textId="4BCF4F05" w:rsidR="00C22623" w:rsidRDefault="00ED5DA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民生预算</w:t>
            </w:r>
          </w:p>
        </w:tc>
        <w:tc>
          <w:tcPr>
            <w:tcW w:w="1870" w:type="dxa"/>
            <w:vAlign w:val="center"/>
          </w:tcPr>
          <w:p w14:paraId="64139A6D" w14:textId="303BC675" w:rsidR="00C22623" w:rsidRDefault="00ED5DA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C22623" w14:paraId="395B6355" w14:textId="77777777" w:rsidTr="00ED5DA8">
        <w:trPr>
          <w:trHeight w:val="338"/>
          <w:jc w:val="center"/>
        </w:trPr>
        <w:tc>
          <w:tcPr>
            <w:tcW w:w="2263" w:type="dxa"/>
            <w:vAlign w:val="center"/>
          </w:tcPr>
          <w:p w14:paraId="3F9EAB21" w14:textId="77777777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第九章 </w:t>
            </w:r>
          </w:p>
        </w:tc>
        <w:tc>
          <w:tcPr>
            <w:tcW w:w="3942" w:type="dxa"/>
            <w:vAlign w:val="center"/>
          </w:tcPr>
          <w:p w14:paraId="4517F46B" w14:textId="740678DC" w:rsidR="00C22623" w:rsidRDefault="00ED5DA8">
            <w:pPr>
              <w:widowControl/>
              <w:jc w:val="center"/>
              <w:rPr>
                <w:rFonts w:ascii="宋体" w:eastAsia="宋体" w:hAnsi="宋体"/>
              </w:rPr>
            </w:pPr>
            <w:r w:rsidRPr="00962B49">
              <w:rPr>
                <w:rFonts w:ascii="宋体" w:eastAsia="宋体" w:hAnsi="宋体" w:hint="eastAsia"/>
              </w:rPr>
              <w:t>后营改增时代</w:t>
            </w:r>
            <w:proofErr w:type="gramStart"/>
            <w:r>
              <w:rPr>
                <w:rFonts w:ascii="宋体" w:eastAsia="宋体" w:hAnsi="宋体" w:hint="eastAsia"/>
              </w:rPr>
              <w:t>的</w:t>
            </w:r>
            <w:r w:rsidRPr="00962B49">
              <w:rPr>
                <w:rFonts w:ascii="宋体" w:eastAsia="宋体" w:hAnsi="宋体" w:hint="eastAsia"/>
              </w:rPr>
              <w:t>央地</w:t>
            </w:r>
            <w:proofErr w:type="gramEnd"/>
            <w:r w:rsidRPr="00962B49">
              <w:rPr>
                <w:rFonts w:ascii="宋体" w:eastAsia="宋体" w:hAnsi="宋体" w:hint="eastAsia"/>
              </w:rPr>
              <w:t>关系</w:t>
            </w:r>
          </w:p>
        </w:tc>
        <w:tc>
          <w:tcPr>
            <w:tcW w:w="1870" w:type="dxa"/>
            <w:vAlign w:val="center"/>
          </w:tcPr>
          <w:p w14:paraId="43088822" w14:textId="665894FC" w:rsidR="00C22623" w:rsidRDefault="00ED5DA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</w:tbl>
    <w:p w14:paraId="10B16632" w14:textId="77777777" w:rsidR="00C22623" w:rsidRDefault="00000000" w:rsidP="0054714E">
      <w:pPr>
        <w:widowControl/>
        <w:numPr>
          <w:ilvl w:val="0"/>
          <w:numId w:val="3"/>
        </w:numPr>
        <w:spacing w:beforeLines="100" w:before="312" w:afterLines="50" w:after="156"/>
        <w:ind w:firstLineChars="151" w:firstLine="424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教学进度</w:t>
      </w:r>
    </w:p>
    <w:p w14:paraId="00AA33E1" w14:textId="77777777" w:rsidR="00C22623" w:rsidRDefault="0000000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418"/>
        <w:gridCol w:w="2693"/>
        <w:gridCol w:w="709"/>
        <w:gridCol w:w="1843"/>
        <w:gridCol w:w="504"/>
      </w:tblGrid>
      <w:tr w:rsidR="00C22623" w14:paraId="34D1828C" w14:textId="77777777" w:rsidTr="00D75DBC">
        <w:trPr>
          <w:trHeight w:val="340"/>
          <w:jc w:val="center"/>
        </w:trPr>
        <w:tc>
          <w:tcPr>
            <w:tcW w:w="562" w:type="dxa"/>
            <w:vAlign w:val="center"/>
          </w:tcPr>
          <w:p w14:paraId="1C94FC8E" w14:textId="77777777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567" w:type="dxa"/>
            <w:vAlign w:val="center"/>
          </w:tcPr>
          <w:p w14:paraId="1AA9A7CF" w14:textId="77777777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418" w:type="dxa"/>
            <w:vAlign w:val="center"/>
          </w:tcPr>
          <w:p w14:paraId="79977578" w14:textId="77777777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693" w:type="dxa"/>
            <w:vAlign w:val="center"/>
          </w:tcPr>
          <w:p w14:paraId="428266CE" w14:textId="77777777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709" w:type="dxa"/>
            <w:vAlign w:val="center"/>
          </w:tcPr>
          <w:p w14:paraId="1FAEC5C7" w14:textId="77777777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843" w:type="dxa"/>
            <w:vAlign w:val="center"/>
          </w:tcPr>
          <w:p w14:paraId="0EE62E13" w14:textId="77777777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504" w:type="dxa"/>
            <w:vAlign w:val="center"/>
          </w:tcPr>
          <w:p w14:paraId="2F824D05" w14:textId="77777777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C22623" w14:paraId="57F8C18C" w14:textId="77777777" w:rsidTr="00D75DBC">
        <w:trPr>
          <w:trHeight w:val="340"/>
          <w:jc w:val="center"/>
        </w:trPr>
        <w:tc>
          <w:tcPr>
            <w:tcW w:w="562" w:type="dxa"/>
            <w:vAlign w:val="center"/>
          </w:tcPr>
          <w:p w14:paraId="648A0482" w14:textId="25742DAA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1C3747">
              <w:rPr>
                <w:rFonts w:ascii="宋体" w:eastAsia="宋体" w:hAnsi="宋体"/>
                <w:szCs w:val="21"/>
              </w:rPr>
              <w:t>-2</w:t>
            </w:r>
          </w:p>
        </w:tc>
        <w:tc>
          <w:tcPr>
            <w:tcW w:w="567" w:type="dxa"/>
            <w:vAlign w:val="center"/>
          </w:tcPr>
          <w:p w14:paraId="1DDBCC4A" w14:textId="77777777" w:rsidR="00C22623" w:rsidRDefault="00C2262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438FD4A" w14:textId="28C063AF" w:rsidR="00C22623" w:rsidRDefault="001C374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C3747">
              <w:rPr>
                <w:rFonts w:ascii="宋体" w:eastAsia="宋体" w:hAnsi="宋体" w:hint="eastAsia"/>
                <w:szCs w:val="21"/>
              </w:rPr>
              <w:t>区块链技术在税收征管中的应用</w:t>
            </w:r>
          </w:p>
        </w:tc>
        <w:tc>
          <w:tcPr>
            <w:tcW w:w="2693" w:type="dxa"/>
            <w:vAlign w:val="center"/>
          </w:tcPr>
          <w:p w14:paraId="76F9A67B" w14:textId="5E791B16" w:rsidR="001C3747" w:rsidRPr="001C3747" w:rsidRDefault="001C3747" w:rsidP="001C374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C3747">
              <w:rPr>
                <w:rFonts w:ascii="宋体" w:eastAsia="宋体" w:hAnsi="宋体" w:hint="eastAsia"/>
                <w:szCs w:val="21"/>
              </w:rPr>
              <w:t>区块链技术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1C3747">
              <w:rPr>
                <w:rFonts w:ascii="宋体" w:eastAsia="宋体" w:hAnsi="宋体"/>
                <w:szCs w:val="21"/>
              </w:rPr>
              <w:t>特点</w:t>
            </w:r>
            <w:r>
              <w:rPr>
                <w:rFonts w:ascii="宋体" w:eastAsia="宋体" w:hAnsi="宋体" w:hint="eastAsia"/>
                <w:szCs w:val="21"/>
              </w:rPr>
              <w:t>及其</w:t>
            </w:r>
            <w:r w:rsidRPr="001C3747">
              <w:rPr>
                <w:rFonts w:ascii="宋体" w:eastAsia="宋体" w:hAnsi="宋体"/>
                <w:szCs w:val="21"/>
              </w:rPr>
              <w:t>优缺点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14:paraId="6959C185" w14:textId="12452D44" w:rsidR="00C22623" w:rsidRPr="001C3747" w:rsidRDefault="001C3747" w:rsidP="001C374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C3747">
              <w:rPr>
                <w:rFonts w:ascii="宋体" w:eastAsia="宋体" w:hAnsi="宋体"/>
                <w:szCs w:val="21"/>
              </w:rPr>
              <w:t>区块链技术在全球税收征管中的应用</w:t>
            </w:r>
          </w:p>
        </w:tc>
        <w:tc>
          <w:tcPr>
            <w:tcW w:w="709" w:type="dxa"/>
            <w:vAlign w:val="center"/>
          </w:tcPr>
          <w:p w14:paraId="3361E9A7" w14:textId="77777777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4E4D7971" w14:textId="215EC675" w:rsidR="00C22623" w:rsidRDefault="001C374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C3747">
              <w:rPr>
                <w:rFonts w:ascii="宋体" w:eastAsia="宋体" w:hAnsi="宋体" w:hint="eastAsia"/>
                <w:szCs w:val="21"/>
              </w:rPr>
              <w:t>讨论技术进步对税收征管的影响</w:t>
            </w:r>
          </w:p>
        </w:tc>
        <w:tc>
          <w:tcPr>
            <w:tcW w:w="504" w:type="dxa"/>
            <w:vAlign w:val="center"/>
          </w:tcPr>
          <w:p w14:paraId="0D38D2B9" w14:textId="77777777" w:rsidR="00C22623" w:rsidRDefault="00C2262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22623" w14:paraId="14F32833" w14:textId="77777777" w:rsidTr="00D75DBC">
        <w:trPr>
          <w:trHeight w:val="340"/>
          <w:jc w:val="center"/>
        </w:trPr>
        <w:tc>
          <w:tcPr>
            <w:tcW w:w="562" w:type="dxa"/>
            <w:vAlign w:val="center"/>
          </w:tcPr>
          <w:p w14:paraId="7D25F67E" w14:textId="58F35AC8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  <w:r w:rsidR="001C3747">
              <w:rPr>
                <w:rFonts w:ascii="宋体" w:eastAsia="宋体" w:hAnsi="宋体"/>
                <w:szCs w:val="21"/>
              </w:rPr>
              <w:t>-7</w:t>
            </w:r>
          </w:p>
        </w:tc>
        <w:tc>
          <w:tcPr>
            <w:tcW w:w="567" w:type="dxa"/>
            <w:vAlign w:val="center"/>
          </w:tcPr>
          <w:p w14:paraId="346E296C" w14:textId="77777777" w:rsidR="00C22623" w:rsidRDefault="00C2262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137F293" w14:textId="2D789230" w:rsidR="00C22623" w:rsidRDefault="001C374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00B64">
              <w:rPr>
                <w:rFonts w:ascii="宋体" w:eastAsia="宋体" w:hAnsi="宋体" w:hint="eastAsia"/>
                <w:szCs w:val="21"/>
              </w:rPr>
              <w:t>促进企业研发创新的税收激励</w:t>
            </w:r>
            <w:r w:rsidR="003C247E" w:rsidRPr="00400B64">
              <w:rPr>
                <w:rFonts w:ascii="宋体" w:eastAsia="宋体" w:hAnsi="宋体" w:hint="eastAsia"/>
                <w:szCs w:val="21"/>
              </w:rPr>
              <w:t>政策</w:t>
            </w:r>
          </w:p>
        </w:tc>
        <w:tc>
          <w:tcPr>
            <w:tcW w:w="2693" w:type="dxa"/>
            <w:vAlign w:val="center"/>
          </w:tcPr>
          <w:p w14:paraId="18467752" w14:textId="77777777" w:rsidR="00C22623" w:rsidRDefault="007D6EC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D6ECA">
              <w:rPr>
                <w:rFonts w:ascii="宋体" w:eastAsia="宋体" w:hAnsi="宋体"/>
                <w:szCs w:val="21"/>
              </w:rPr>
              <w:t>政府干预企业研发创新的理论基础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14:paraId="30FF4C20" w14:textId="77777777" w:rsidR="007D6ECA" w:rsidRDefault="007D6EC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D6ECA">
              <w:rPr>
                <w:rFonts w:ascii="宋体" w:eastAsia="宋体" w:hAnsi="宋体" w:hint="eastAsia"/>
                <w:szCs w:val="21"/>
              </w:rPr>
              <w:t>政府促进企业研发创新的财政政策工具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14:paraId="7C03C0A5" w14:textId="77777777" w:rsidR="007D6ECA" w:rsidRDefault="007D6EC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D6ECA">
              <w:rPr>
                <w:rFonts w:ascii="宋体" w:eastAsia="宋体" w:hAnsi="宋体" w:hint="eastAsia"/>
                <w:szCs w:val="21"/>
              </w:rPr>
              <w:t>税收影响企业研发创新的作用机制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14:paraId="2499B979" w14:textId="40C8AE52" w:rsidR="007D6ECA" w:rsidRDefault="007D6ECA">
            <w:pPr>
              <w:widowControl/>
              <w:spacing w:beforeLines="50" w:before="156" w:afterLines="50" w:after="156"/>
              <w:jc w:val="center"/>
              <w:rPr>
                <w:rFonts w:eastAsia="宋体"/>
              </w:rPr>
            </w:pPr>
            <w:r w:rsidRPr="00C51E2F">
              <w:rPr>
                <w:rFonts w:eastAsia="宋体" w:hint="eastAsia"/>
              </w:rPr>
              <w:t>促进企业研发创新的税收激励</w:t>
            </w:r>
            <w:r>
              <w:rPr>
                <w:rFonts w:eastAsia="宋体" w:hint="eastAsia"/>
              </w:rPr>
              <w:t>政策（针对研发投入</w:t>
            </w:r>
            <w:r w:rsidR="00E14EFE">
              <w:rPr>
                <w:rFonts w:eastAsia="宋体" w:hint="eastAsia"/>
              </w:rPr>
              <w:t>端</w:t>
            </w:r>
            <w:r>
              <w:rPr>
                <w:rFonts w:eastAsia="宋体" w:hint="eastAsia"/>
              </w:rPr>
              <w:t>）</w:t>
            </w:r>
            <w:r w:rsidR="00E14EFE">
              <w:rPr>
                <w:rFonts w:eastAsia="宋体" w:hint="eastAsia"/>
              </w:rPr>
              <w:t>；</w:t>
            </w:r>
          </w:p>
          <w:p w14:paraId="5A6198D0" w14:textId="3719F3F8" w:rsidR="00E14EFE" w:rsidRPr="007D6ECA" w:rsidRDefault="00E14E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1E2F">
              <w:rPr>
                <w:rFonts w:eastAsia="宋体" w:hint="eastAsia"/>
              </w:rPr>
              <w:t>促进企业研发创新的税收激励</w:t>
            </w:r>
            <w:r>
              <w:rPr>
                <w:rFonts w:eastAsia="宋体" w:hint="eastAsia"/>
              </w:rPr>
              <w:t>政策（针对研发产出端）</w:t>
            </w:r>
          </w:p>
        </w:tc>
        <w:tc>
          <w:tcPr>
            <w:tcW w:w="709" w:type="dxa"/>
            <w:vAlign w:val="center"/>
          </w:tcPr>
          <w:p w14:paraId="6D30523B" w14:textId="04EA50FB" w:rsidR="00C22623" w:rsidRDefault="001C374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1843" w:type="dxa"/>
            <w:vAlign w:val="center"/>
          </w:tcPr>
          <w:p w14:paraId="77F41B36" w14:textId="4ADF82C5" w:rsidR="007D6ECA" w:rsidRPr="007D6ECA" w:rsidRDefault="007D6ECA" w:rsidP="007D6EC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通过</w:t>
            </w:r>
            <w:r w:rsidRPr="007D6ECA">
              <w:rPr>
                <w:rFonts w:ascii="宋体" w:eastAsia="宋体" w:hAnsi="宋体" w:hint="eastAsia"/>
                <w:szCs w:val="21"/>
              </w:rPr>
              <w:t>对比分析</w:t>
            </w:r>
            <w:r>
              <w:rPr>
                <w:rFonts w:ascii="宋体" w:eastAsia="宋体" w:hAnsi="宋体" w:hint="eastAsia"/>
                <w:szCs w:val="21"/>
              </w:rPr>
              <w:t>发现</w:t>
            </w:r>
            <w:r w:rsidRPr="007D6ECA">
              <w:rPr>
                <w:rFonts w:ascii="宋体" w:eastAsia="宋体" w:hAnsi="宋体" w:hint="eastAsia"/>
                <w:szCs w:val="21"/>
              </w:rPr>
              <w:t>促进企业研发的税收激励政策的洲际差异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14:paraId="71CF9199" w14:textId="71BB19FE" w:rsidR="00C22623" w:rsidRPr="007D6ECA" w:rsidRDefault="007D6ECA" w:rsidP="007D6EC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通过小组</w:t>
            </w:r>
            <w:r w:rsidRPr="007D6ECA">
              <w:rPr>
                <w:rFonts w:ascii="宋体" w:eastAsia="宋体" w:hAnsi="宋体"/>
                <w:szCs w:val="21"/>
              </w:rPr>
              <w:t>讨论</w:t>
            </w:r>
            <w:r>
              <w:rPr>
                <w:rFonts w:ascii="宋体" w:eastAsia="宋体" w:hAnsi="宋体" w:hint="eastAsia"/>
                <w:szCs w:val="21"/>
              </w:rPr>
              <w:t>理解</w:t>
            </w:r>
            <w:r w:rsidRPr="007D6ECA">
              <w:rPr>
                <w:rFonts w:ascii="宋体" w:eastAsia="宋体" w:hAnsi="宋体"/>
                <w:szCs w:val="21"/>
              </w:rPr>
              <w:t>促进企业研发的税收激励</w:t>
            </w:r>
            <w:r>
              <w:rPr>
                <w:rFonts w:ascii="宋体" w:eastAsia="宋体" w:hAnsi="宋体" w:hint="eastAsia"/>
                <w:szCs w:val="21"/>
              </w:rPr>
              <w:t>政策</w:t>
            </w:r>
            <w:r w:rsidRPr="007D6ECA">
              <w:rPr>
                <w:rFonts w:ascii="宋体" w:eastAsia="宋体" w:hAnsi="宋体"/>
                <w:szCs w:val="21"/>
              </w:rPr>
              <w:t>的醉翁之意</w:t>
            </w:r>
          </w:p>
        </w:tc>
        <w:tc>
          <w:tcPr>
            <w:tcW w:w="504" w:type="dxa"/>
            <w:vAlign w:val="center"/>
          </w:tcPr>
          <w:p w14:paraId="431197A3" w14:textId="77777777" w:rsidR="00C22623" w:rsidRDefault="00C2262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22623" w14:paraId="199AEADB" w14:textId="77777777" w:rsidTr="00D75DBC">
        <w:trPr>
          <w:trHeight w:val="340"/>
          <w:jc w:val="center"/>
        </w:trPr>
        <w:tc>
          <w:tcPr>
            <w:tcW w:w="562" w:type="dxa"/>
            <w:vAlign w:val="center"/>
          </w:tcPr>
          <w:p w14:paraId="4F59FA27" w14:textId="7F8A16EF" w:rsidR="00C22623" w:rsidRDefault="007B4DB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567" w:type="dxa"/>
            <w:vAlign w:val="center"/>
          </w:tcPr>
          <w:p w14:paraId="49DE8AE6" w14:textId="77777777" w:rsidR="00C22623" w:rsidRDefault="00C2262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983867F" w14:textId="1CA3F021" w:rsidR="00C22623" w:rsidRPr="007B4DB8" w:rsidRDefault="007B4DB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B4DB8">
              <w:rPr>
                <w:rFonts w:ascii="宋体" w:eastAsia="宋体" w:hAnsi="宋体" w:hint="eastAsia"/>
              </w:rPr>
              <w:t>税务部门</w:t>
            </w:r>
            <w:proofErr w:type="gramStart"/>
            <w:r w:rsidRPr="007B4DB8">
              <w:rPr>
                <w:rFonts w:ascii="宋体" w:eastAsia="宋体" w:hAnsi="宋体" w:hint="eastAsia"/>
              </w:rPr>
              <w:t>征管非</w:t>
            </w:r>
            <w:proofErr w:type="gramEnd"/>
            <w:r w:rsidRPr="007B4DB8">
              <w:rPr>
                <w:rFonts w:ascii="宋体" w:eastAsia="宋体" w:hAnsi="宋体" w:hint="eastAsia"/>
              </w:rPr>
              <w:t>税收入的实现路径</w:t>
            </w:r>
          </w:p>
        </w:tc>
        <w:tc>
          <w:tcPr>
            <w:tcW w:w="2693" w:type="dxa"/>
            <w:vAlign w:val="center"/>
          </w:tcPr>
          <w:p w14:paraId="77A48414" w14:textId="31F02663" w:rsidR="007B4DB8" w:rsidRDefault="007B4DB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B4DB8">
              <w:rPr>
                <w:rFonts w:ascii="宋体" w:eastAsia="宋体" w:hAnsi="宋体" w:hint="eastAsia"/>
                <w:szCs w:val="21"/>
              </w:rPr>
              <w:t>非税收入由税务部门征管</w:t>
            </w:r>
            <w:r>
              <w:rPr>
                <w:rFonts w:ascii="宋体" w:eastAsia="宋体" w:hAnsi="宋体" w:hint="eastAsia"/>
                <w:szCs w:val="21"/>
              </w:rPr>
              <w:t>的理论依据与现实原因；</w:t>
            </w:r>
          </w:p>
          <w:p w14:paraId="45CBBA63" w14:textId="635965D5" w:rsidR="00C22623" w:rsidRDefault="007B4DB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B4DB8">
              <w:rPr>
                <w:rFonts w:ascii="宋体" w:eastAsia="宋体" w:hAnsi="宋体" w:hint="eastAsia"/>
                <w:szCs w:val="21"/>
              </w:rPr>
              <w:t>税务部门</w:t>
            </w:r>
            <w:proofErr w:type="gramStart"/>
            <w:r w:rsidRPr="007B4DB8">
              <w:rPr>
                <w:rFonts w:ascii="宋体" w:eastAsia="宋体" w:hAnsi="宋体" w:hint="eastAsia"/>
                <w:szCs w:val="21"/>
              </w:rPr>
              <w:t>征管非</w:t>
            </w:r>
            <w:proofErr w:type="gramEnd"/>
            <w:r w:rsidRPr="007B4DB8">
              <w:rPr>
                <w:rFonts w:ascii="宋体" w:eastAsia="宋体" w:hAnsi="宋体" w:hint="eastAsia"/>
                <w:szCs w:val="21"/>
              </w:rPr>
              <w:t>税收入</w:t>
            </w:r>
            <w:r>
              <w:rPr>
                <w:rFonts w:ascii="宋体" w:eastAsia="宋体" w:hAnsi="宋体" w:hint="eastAsia"/>
                <w:szCs w:val="21"/>
              </w:rPr>
              <w:t>的模式和步骤</w:t>
            </w:r>
          </w:p>
        </w:tc>
        <w:tc>
          <w:tcPr>
            <w:tcW w:w="709" w:type="dxa"/>
            <w:vAlign w:val="center"/>
          </w:tcPr>
          <w:p w14:paraId="33BA325F" w14:textId="780DB971" w:rsidR="00C22623" w:rsidRDefault="003C24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092B2827" w14:textId="6FC9FF00" w:rsidR="00C22623" w:rsidRDefault="007B4DB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讨论</w:t>
            </w:r>
            <w:r w:rsidRPr="007B4DB8">
              <w:rPr>
                <w:rFonts w:ascii="宋体" w:eastAsia="宋体" w:hAnsi="宋体" w:hint="eastAsia"/>
                <w:szCs w:val="21"/>
              </w:rPr>
              <w:t>税务部门在非税收入的实际征管过程中可能面临的问题难点</w:t>
            </w:r>
          </w:p>
        </w:tc>
        <w:tc>
          <w:tcPr>
            <w:tcW w:w="504" w:type="dxa"/>
            <w:vAlign w:val="center"/>
          </w:tcPr>
          <w:p w14:paraId="57B01823" w14:textId="77777777" w:rsidR="00C22623" w:rsidRDefault="00C2262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22623" w14:paraId="431CD0C4" w14:textId="77777777" w:rsidTr="00D75DBC">
        <w:trPr>
          <w:trHeight w:val="340"/>
          <w:jc w:val="center"/>
        </w:trPr>
        <w:tc>
          <w:tcPr>
            <w:tcW w:w="562" w:type="dxa"/>
            <w:vAlign w:val="center"/>
          </w:tcPr>
          <w:p w14:paraId="67309BDD" w14:textId="027D31B6" w:rsidR="00C22623" w:rsidRDefault="007D25E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9-10</w:t>
            </w:r>
          </w:p>
        </w:tc>
        <w:tc>
          <w:tcPr>
            <w:tcW w:w="567" w:type="dxa"/>
            <w:vAlign w:val="center"/>
          </w:tcPr>
          <w:p w14:paraId="4ED851FD" w14:textId="77777777" w:rsidR="00C22623" w:rsidRDefault="00C2262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BCE358B" w14:textId="5FCF3D47" w:rsidR="00C22623" w:rsidRDefault="007D25E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00B64">
              <w:rPr>
                <w:rFonts w:ascii="宋体" w:eastAsia="宋体" w:hAnsi="宋体" w:hint="eastAsia"/>
                <w:szCs w:val="21"/>
              </w:rPr>
              <w:t>财政学视角下公立医院的体制改革</w:t>
            </w:r>
          </w:p>
        </w:tc>
        <w:tc>
          <w:tcPr>
            <w:tcW w:w="2693" w:type="dxa"/>
            <w:vAlign w:val="center"/>
          </w:tcPr>
          <w:p w14:paraId="77403709" w14:textId="71F2AE7F" w:rsidR="00E14EFE" w:rsidRPr="00E14EFE" w:rsidRDefault="00E14EFE" w:rsidP="00E14E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E14EFE">
              <w:rPr>
                <w:rFonts w:ascii="宋体" w:eastAsia="宋体" w:hAnsi="宋体" w:hint="eastAsia"/>
                <w:szCs w:val="21"/>
              </w:rPr>
              <w:t>公立医院收入状况分析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14:paraId="4B449E9B" w14:textId="77777777" w:rsidR="00C22623" w:rsidRDefault="00E14EFE" w:rsidP="00E14E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E14EFE">
              <w:rPr>
                <w:rFonts w:ascii="宋体" w:eastAsia="宋体" w:hAnsi="宋体"/>
                <w:szCs w:val="21"/>
              </w:rPr>
              <w:t>公立医院问题与事业单位财政拨款制度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14:paraId="10E8FF26" w14:textId="058D0DDD" w:rsidR="00E14EFE" w:rsidRDefault="00E14EFE" w:rsidP="00E14E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00B64">
              <w:rPr>
                <w:rFonts w:ascii="宋体" w:eastAsia="宋体" w:hAnsi="宋体" w:hint="eastAsia"/>
                <w:szCs w:val="21"/>
              </w:rPr>
              <w:t>财政视角下公立医院改革</w:t>
            </w:r>
          </w:p>
        </w:tc>
        <w:tc>
          <w:tcPr>
            <w:tcW w:w="709" w:type="dxa"/>
            <w:vAlign w:val="center"/>
          </w:tcPr>
          <w:p w14:paraId="55910CA0" w14:textId="503EF535" w:rsidR="00C22623" w:rsidRDefault="003C24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389E3C54" w14:textId="63B0E79F" w:rsidR="00C22623" w:rsidRDefault="003C24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00B64">
              <w:rPr>
                <w:rFonts w:ascii="宋体" w:eastAsia="宋体" w:hAnsi="宋体" w:hint="eastAsia"/>
                <w:szCs w:val="21"/>
              </w:rPr>
              <w:t>小组讨论改革的效果及完善</w:t>
            </w:r>
          </w:p>
        </w:tc>
        <w:tc>
          <w:tcPr>
            <w:tcW w:w="504" w:type="dxa"/>
            <w:vAlign w:val="center"/>
          </w:tcPr>
          <w:p w14:paraId="297D3311" w14:textId="77777777" w:rsidR="00C22623" w:rsidRDefault="00C2262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22623" w14:paraId="13656A91" w14:textId="77777777" w:rsidTr="00D75DBC">
        <w:trPr>
          <w:trHeight w:val="340"/>
          <w:jc w:val="center"/>
        </w:trPr>
        <w:tc>
          <w:tcPr>
            <w:tcW w:w="562" w:type="dxa"/>
            <w:vAlign w:val="center"/>
          </w:tcPr>
          <w:p w14:paraId="4381D4E2" w14:textId="0E72133D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11</w:t>
            </w:r>
            <w:r w:rsidR="005F16DE">
              <w:rPr>
                <w:rFonts w:ascii="宋体" w:eastAsia="宋体" w:hAnsi="宋体"/>
                <w:szCs w:val="21"/>
              </w:rPr>
              <w:t>-12</w:t>
            </w:r>
          </w:p>
        </w:tc>
        <w:tc>
          <w:tcPr>
            <w:tcW w:w="567" w:type="dxa"/>
            <w:vAlign w:val="center"/>
          </w:tcPr>
          <w:p w14:paraId="66D0A83B" w14:textId="77777777" w:rsidR="00C22623" w:rsidRDefault="00C2262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DD2E03C" w14:textId="55BF1D95" w:rsidR="00C22623" w:rsidRDefault="003C24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C247E">
              <w:rPr>
                <w:rFonts w:ascii="宋体" w:eastAsia="宋体" w:hAnsi="宋体" w:hint="eastAsia"/>
                <w:szCs w:val="21"/>
              </w:rPr>
              <w:t>企业职工基本养老保险制度改革</w:t>
            </w:r>
          </w:p>
        </w:tc>
        <w:tc>
          <w:tcPr>
            <w:tcW w:w="2693" w:type="dxa"/>
            <w:vAlign w:val="center"/>
          </w:tcPr>
          <w:p w14:paraId="635618C0" w14:textId="77777777" w:rsidR="00C22623" w:rsidRPr="00400B64" w:rsidRDefault="003C24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00B64">
              <w:rPr>
                <w:rFonts w:ascii="宋体" w:eastAsia="宋体" w:hAnsi="宋体" w:hint="eastAsia"/>
                <w:szCs w:val="21"/>
              </w:rPr>
              <w:t>企业职工基本养老保险资金筹集模式的选择；</w:t>
            </w:r>
          </w:p>
          <w:p w14:paraId="3D847A0B" w14:textId="77777777" w:rsidR="005F16DE" w:rsidRDefault="003C247E" w:rsidP="003C24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C247E">
              <w:rPr>
                <w:rFonts w:ascii="宋体" w:eastAsia="宋体" w:hAnsi="宋体" w:hint="eastAsia"/>
                <w:szCs w:val="21"/>
              </w:rPr>
              <w:t>企业职工基本养老保险制度的主要问题</w:t>
            </w:r>
            <w:r w:rsidR="005F16DE">
              <w:rPr>
                <w:rFonts w:ascii="宋体" w:eastAsia="宋体" w:hAnsi="宋体" w:hint="eastAsia"/>
                <w:szCs w:val="21"/>
              </w:rPr>
              <w:t>；</w:t>
            </w:r>
          </w:p>
          <w:p w14:paraId="4DF140DA" w14:textId="457F096F" w:rsidR="003C247E" w:rsidRDefault="005F16DE" w:rsidP="003C24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C247E">
              <w:rPr>
                <w:rFonts w:ascii="宋体" w:eastAsia="宋体" w:hAnsi="宋体" w:hint="eastAsia"/>
                <w:szCs w:val="21"/>
              </w:rPr>
              <w:t>企业职工基本养老保险</w:t>
            </w:r>
            <w:r w:rsidR="00A124A4">
              <w:rPr>
                <w:rFonts w:ascii="宋体" w:eastAsia="宋体" w:hAnsi="宋体" w:hint="eastAsia"/>
                <w:szCs w:val="21"/>
              </w:rPr>
              <w:t>制度</w:t>
            </w:r>
            <w:r>
              <w:rPr>
                <w:rFonts w:ascii="宋体" w:eastAsia="宋体" w:hAnsi="宋体" w:hint="eastAsia"/>
                <w:szCs w:val="21"/>
              </w:rPr>
              <w:t>的改革路径</w:t>
            </w:r>
          </w:p>
        </w:tc>
        <w:tc>
          <w:tcPr>
            <w:tcW w:w="709" w:type="dxa"/>
            <w:vAlign w:val="center"/>
          </w:tcPr>
          <w:p w14:paraId="3B51CA21" w14:textId="6F8A42DF" w:rsidR="00C22623" w:rsidRDefault="005F16D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4BC43326" w14:textId="3F3C5286" w:rsidR="00C22623" w:rsidRDefault="003C24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讨论</w:t>
            </w:r>
            <w:r w:rsidRPr="003C247E">
              <w:rPr>
                <w:rFonts w:ascii="宋体" w:eastAsia="宋体" w:hAnsi="宋体" w:hint="eastAsia"/>
                <w:szCs w:val="21"/>
              </w:rPr>
              <w:t>在生育率大幅下降的背景之下，上述</w:t>
            </w:r>
            <w:r w:rsidR="005F16DE">
              <w:rPr>
                <w:rFonts w:ascii="宋体" w:eastAsia="宋体" w:hAnsi="宋体" w:hint="eastAsia"/>
                <w:szCs w:val="21"/>
              </w:rPr>
              <w:t>改革路径</w:t>
            </w:r>
            <w:r w:rsidRPr="003C247E">
              <w:rPr>
                <w:rFonts w:ascii="宋体" w:eastAsia="宋体" w:hAnsi="宋体" w:hint="eastAsia"/>
                <w:szCs w:val="21"/>
              </w:rPr>
              <w:t>的实施效果、难点与应对</w:t>
            </w:r>
          </w:p>
        </w:tc>
        <w:tc>
          <w:tcPr>
            <w:tcW w:w="504" w:type="dxa"/>
            <w:vAlign w:val="center"/>
          </w:tcPr>
          <w:p w14:paraId="40EB0681" w14:textId="77777777" w:rsidR="00C22623" w:rsidRDefault="00C2262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22623" w14:paraId="48B8024D" w14:textId="77777777" w:rsidTr="00D75DBC">
        <w:trPr>
          <w:trHeight w:val="340"/>
          <w:jc w:val="center"/>
        </w:trPr>
        <w:tc>
          <w:tcPr>
            <w:tcW w:w="562" w:type="dxa"/>
            <w:vAlign w:val="center"/>
          </w:tcPr>
          <w:p w14:paraId="34B5FF23" w14:textId="658B1DB2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13</w:t>
            </w:r>
          </w:p>
        </w:tc>
        <w:tc>
          <w:tcPr>
            <w:tcW w:w="567" w:type="dxa"/>
            <w:vAlign w:val="center"/>
          </w:tcPr>
          <w:p w14:paraId="4509BFFA" w14:textId="77777777" w:rsidR="00C22623" w:rsidRDefault="00C2262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216A0A1" w14:textId="475CE24D" w:rsidR="00C22623" w:rsidRDefault="005F16D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00B64">
              <w:rPr>
                <w:rFonts w:ascii="宋体" w:eastAsia="宋体" w:hAnsi="宋体" w:hint="eastAsia"/>
                <w:szCs w:val="21"/>
              </w:rPr>
              <w:t>希腊债务危机及其化解</w:t>
            </w:r>
          </w:p>
        </w:tc>
        <w:tc>
          <w:tcPr>
            <w:tcW w:w="2693" w:type="dxa"/>
            <w:vAlign w:val="center"/>
          </w:tcPr>
          <w:p w14:paraId="601085F6" w14:textId="77777777" w:rsidR="00C22623" w:rsidRDefault="005F16D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00B64">
              <w:rPr>
                <w:rFonts w:ascii="宋体" w:eastAsia="宋体" w:hAnsi="宋体" w:hint="eastAsia"/>
                <w:szCs w:val="21"/>
              </w:rPr>
              <w:t>希腊债务危机</w:t>
            </w:r>
            <w:r w:rsidRPr="005F16DE">
              <w:rPr>
                <w:rFonts w:ascii="宋体" w:eastAsia="宋体" w:hAnsi="宋体" w:hint="eastAsia"/>
                <w:szCs w:val="21"/>
              </w:rPr>
              <w:t>成因分析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14:paraId="591D0CEA" w14:textId="15776C88" w:rsidR="005F16DE" w:rsidRDefault="005F16D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00B64">
              <w:rPr>
                <w:rFonts w:ascii="宋体" w:eastAsia="宋体" w:hAnsi="宋体" w:hint="eastAsia"/>
                <w:szCs w:val="21"/>
              </w:rPr>
              <w:t>希腊债务</w:t>
            </w:r>
            <w:r w:rsidRPr="005F16DE">
              <w:rPr>
                <w:rFonts w:ascii="宋体" w:eastAsia="宋体" w:hAnsi="宋体" w:hint="eastAsia"/>
                <w:szCs w:val="21"/>
              </w:rPr>
              <w:t>危机的化解</w:t>
            </w:r>
          </w:p>
        </w:tc>
        <w:tc>
          <w:tcPr>
            <w:tcW w:w="709" w:type="dxa"/>
            <w:vAlign w:val="center"/>
          </w:tcPr>
          <w:p w14:paraId="4A855156" w14:textId="6C2749D0" w:rsidR="00C22623" w:rsidRDefault="005F16D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778E3265" w14:textId="3F2D4C4B" w:rsidR="00C22623" w:rsidRDefault="00F933B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分析</w:t>
            </w:r>
            <w:r w:rsidRPr="00F933B4">
              <w:rPr>
                <w:rFonts w:ascii="宋体" w:eastAsia="宋体" w:hAnsi="宋体" w:hint="eastAsia"/>
                <w:szCs w:val="21"/>
              </w:rPr>
              <w:t>“</w:t>
            </w:r>
            <w:r w:rsidRPr="00F933B4">
              <w:rPr>
                <w:rFonts w:ascii="宋体" w:eastAsia="宋体" w:hAnsi="宋体"/>
                <w:szCs w:val="21"/>
              </w:rPr>
              <w:t>PIGS”债务危机的异同及化解方案</w:t>
            </w:r>
          </w:p>
        </w:tc>
        <w:tc>
          <w:tcPr>
            <w:tcW w:w="504" w:type="dxa"/>
            <w:vAlign w:val="center"/>
          </w:tcPr>
          <w:p w14:paraId="25304AF3" w14:textId="77777777" w:rsidR="00C22623" w:rsidRDefault="00C2262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22623" w14:paraId="6798E8F3" w14:textId="77777777" w:rsidTr="00D75DBC">
        <w:trPr>
          <w:trHeight w:val="340"/>
          <w:jc w:val="center"/>
        </w:trPr>
        <w:tc>
          <w:tcPr>
            <w:tcW w:w="562" w:type="dxa"/>
            <w:vAlign w:val="center"/>
          </w:tcPr>
          <w:p w14:paraId="563D1C63" w14:textId="2B22F696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14</w:t>
            </w:r>
          </w:p>
        </w:tc>
        <w:tc>
          <w:tcPr>
            <w:tcW w:w="567" w:type="dxa"/>
            <w:vAlign w:val="center"/>
          </w:tcPr>
          <w:p w14:paraId="0176E8B2" w14:textId="77777777" w:rsidR="00C22623" w:rsidRDefault="00C2262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9C9A943" w14:textId="10C8240B" w:rsidR="00C22623" w:rsidRPr="00400B64" w:rsidRDefault="0084650D" w:rsidP="00A124A4">
            <w:pPr>
              <w:widowControl/>
              <w:spacing w:beforeLines="50" w:before="156" w:afterLines="50" w:after="156"/>
              <w:ind w:leftChars="-50" w:hangingChars="50" w:hanging="105"/>
              <w:jc w:val="center"/>
              <w:rPr>
                <w:rFonts w:ascii="宋体" w:eastAsia="宋体" w:hAnsi="宋体"/>
                <w:szCs w:val="21"/>
              </w:rPr>
            </w:pPr>
            <w:r w:rsidRPr="00400B64">
              <w:rPr>
                <w:rFonts w:ascii="宋体" w:eastAsia="宋体" w:hAnsi="宋体" w:hint="eastAsia"/>
                <w:szCs w:val="21"/>
              </w:rPr>
              <w:t>“绿色”预算</w:t>
            </w:r>
          </w:p>
        </w:tc>
        <w:tc>
          <w:tcPr>
            <w:tcW w:w="2693" w:type="dxa"/>
            <w:vAlign w:val="center"/>
          </w:tcPr>
          <w:p w14:paraId="78B3AF0D" w14:textId="126B1198" w:rsidR="00C22623" w:rsidRPr="00400B64" w:rsidRDefault="00E522C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00B64">
              <w:rPr>
                <w:rFonts w:ascii="宋体" w:eastAsia="宋体" w:hAnsi="宋体" w:hint="eastAsia"/>
                <w:szCs w:val="21"/>
              </w:rPr>
              <w:t>政府预算视野下的可持续发展：</w:t>
            </w:r>
            <w:r w:rsidR="0084650D" w:rsidRPr="00400B64">
              <w:rPr>
                <w:rFonts w:ascii="宋体" w:eastAsia="宋体" w:hAnsi="宋体" w:hint="eastAsia"/>
                <w:szCs w:val="21"/>
              </w:rPr>
              <w:t>“绿色”预算；</w:t>
            </w:r>
          </w:p>
          <w:p w14:paraId="586F5CCF" w14:textId="3A8F9190" w:rsidR="0084650D" w:rsidRDefault="0084650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00B64">
              <w:rPr>
                <w:rFonts w:ascii="宋体" w:eastAsia="宋体" w:hAnsi="宋体" w:hint="eastAsia"/>
                <w:szCs w:val="21"/>
              </w:rPr>
              <w:t>“绿色”预算的规模及其发展变化</w:t>
            </w:r>
          </w:p>
        </w:tc>
        <w:tc>
          <w:tcPr>
            <w:tcW w:w="709" w:type="dxa"/>
            <w:vAlign w:val="center"/>
          </w:tcPr>
          <w:p w14:paraId="434864F7" w14:textId="07DD8498" w:rsidR="00C22623" w:rsidRDefault="00962B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4B56238F" w14:textId="29B50382" w:rsidR="00C22623" w:rsidRDefault="0084650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分析</w:t>
            </w:r>
            <w:r w:rsidRPr="00FB0828">
              <w:rPr>
                <w:rFonts w:ascii="宋体" w:eastAsia="宋体" w:hAnsi="宋体" w:hint="eastAsia"/>
                <w:szCs w:val="21"/>
              </w:rPr>
              <w:t>不同层级</w:t>
            </w:r>
            <w:r>
              <w:rPr>
                <w:rFonts w:ascii="宋体" w:eastAsia="宋体" w:hAnsi="宋体" w:hint="eastAsia"/>
                <w:szCs w:val="21"/>
              </w:rPr>
              <w:t>政府、不同区域政府“绿色”</w:t>
            </w:r>
            <w:r w:rsidRPr="00FB0828">
              <w:rPr>
                <w:rFonts w:ascii="宋体" w:eastAsia="宋体" w:hAnsi="宋体" w:hint="eastAsia"/>
                <w:szCs w:val="21"/>
              </w:rPr>
              <w:t>预算的占比及其变化</w:t>
            </w:r>
          </w:p>
        </w:tc>
        <w:tc>
          <w:tcPr>
            <w:tcW w:w="504" w:type="dxa"/>
            <w:vAlign w:val="center"/>
          </w:tcPr>
          <w:p w14:paraId="429EF7E5" w14:textId="77777777" w:rsidR="00C22623" w:rsidRDefault="00C2262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22623" w14:paraId="3E393192" w14:textId="77777777" w:rsidTr="00D75DBC">
        <w:trPr>
          <w:trHeight w:val="340"/>
          <w:jc w:val="center"/>
        </w:trPr>
        <w:tc>
          <w:tcPr>
            <w:tcW w:w="562" w:type="dxa"/>
            <w:vAlign w:val="center"/>
          </w:tcPr>
          <w:p w14:paraId="702DAD88" w14:textId="6AD3595D" w:rsidR="00C22623" w:rsidRDefault="00962B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15</w:t>
            </w:r>
          </w:p>
        </w:tc>
        <w:tc>
          <w:tcPr>
            <w:tcW w:w="567" w:type="dxa"/>
            <w:vAlign w:val="center"/>
          </w:tcPr>
          <w:p w14:paraId="236732E5" w14:textId="77777777" w:rsidR="00C22623" w:rsidRDefault="00C2262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91831AA" w14:textId="79A8AC90" w:rsidR="00C22623" w:rsidRPr="00400B64" w:rsidRDefault="00FB08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00B64">
              <w:rPr>
                <w:rFonts w:ascii="宋体" w:eastAsia="宋体" w:hAnsi="宋体" w:hint="eastAsia"/>
                <w:szCs w:val="21"/>
              </w:rPr>
              <w:t>民生预算</w:t>
            </w:r>
          </w:p>
        </w:tc>
        <w:tc>
          <w:tcPr>
            <w:tcW w:w="2693" w:type="dxa"/>
            <w:vAlign w:val="center"/>
          </w:tcPr>
          <w:p w14:paraId="064009AB" w14:textId="4D97F4BA" w:rsidR="00FB0828" w:rsidRPr="00FB0828" w:rsidRDefault="00FB0828" w:rsidP="00FB08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B0828">
              <w:rPr>
                <w:rFonts w:ascii="宋体" w:eastAsia="宋体" w:hAnsi="宋体" w:hint="eastAsia"/>
                <w:szCs w:val="21"/>
              </w:rPr>
              <w:t>民生预算的提出与内涵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14:paraId="4036229F" w14:textId="2ACAC296" w:rsidR="00C22623" w:rsidRDefault="00FB0828" w:rsidP="00FB08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B0828">
              <w:rPr>
                <w:rFonts w:ascii="宋体" w:eastAsia="宋体" w:hAnsi="宋体"/>
                <w:szCs w:val="21"/>
              </w:rPr>
              <w:t>民生预算的规模及其发展变化</w:t>
            </w:r>
          </w:p>
        </w:tc>
        <w:tc>
          <w:tcPr>
            <w:tcW w:w="709" w:type="dxa"/>
            <w:vAlign w:val="center"/>
          </w:tcPr>
          <w:p w14:paraId="77DAFBC2" w14:textId="6C488E33" w:rsidR="00C22623" w:rsidRDefault="00962B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26F9450D" w14:textId="200726BF" w:rsidR="00C22623" w:rsidRDefault="00FB0828" w:rsidP="00FB08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分析</w:t>
            </w:r>
            <w:r w:rsidRPr="00FB0828">
              <w:rPr>
                <w:rFonts w:ascii="宋体" w:eastAsia="宋体" w:hAnsi="宋体" w:hint="eastAsia"/>
                <w:szCs w:val="21"/>
              </w:rPr>
              <w:t>不同层级</w:t>
            </w:r>
            <w:r>
              <w:rPr>
                <w:rFonts w:ascii="宋体" w:eastAsia="宋体" w:hAnsi="宋体" w:hint="eastAsia"/>
                <w:szCs w:val="21"/>
              </w:rPr>
              <w:t>政府、不同区域政府</w:t>
            </w:r>
            <w:r w:rsidRPr="00FB0828">
              <w:rPr>
                <w:rFonts w:ascii="宋体" w:eastAsia="宋体" w:hAnsi="宋体" w:hint="eastAsia"/>
                <w:szCs w:val="21"/>
              </w:rPr>
              <w:t>民生预算的占比及其发展变化</w:t>
            </w:r>
          </w:p>
        </w:tc>
        <w:tc>
          <w:tcPr>
            <w:tcW w:w="504" w:type="dxa"/>
            <w:vAlign w:val="center"/>
          </w:tcPr>
          <w:p w14:paraId="43DADC10" w14:textId="77777777" w:rsidR="00C22623" w:rsidRDefault="00C2262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22623" w14:paraId="378E0A8E" w14:textId="77777777" w:rsidTr="00D75DBC">
        <w:trPr>
          <w:trHeight w:val="340"/>
          <w:jc w:val="center"/>
        </w:trPr>
        <w:tc>
          <w:tcPr>
            <w:tcW w:w="562" w:type="dxa"/>
            <w:vAlign w:val="center"/>
          </w:tcPr>
          <w:p w14:paraId="332F8D20" w14:textId="483F11C6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  <w:r w:rsidR="00962B49">
              <w:rPr>
                <w:rFonts w:ascii="宋体" w:eastAsia="宋体" w:hAnsi="宋体"/>
                <w:szCs w:val="21"/>
              </w:rPr>
              <w:t>6-17</w:t>
            </w:r>
          </w:p>
        </w:tc>
        <w:tc>
          <w:tcPr>
            <w:tcW w:w="567" w:type="dxa"/>
            <w:vAlign w:val="center"/>
          </w:tcPr>
          <w:p w14:paraId="4245CB5C" w14:textId="77777777" w:rsidR="00C22623" w:rsidRDefault="00C2262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A974DE2" w14:textId="74137BAA" w:rsidR="00C22623" w:rsidRPr="00400B64" w:rsidRDefault="00962B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00B64">
              <w:rPr>
                <w:rFonts w:ascii="宋体" w:eastAsia="宋体" w:hAnsi="宋体" w:hint="eastAsia"/>
                <w:szCs w:val="21"/>
              </w:rPr>
              <w:t>后营改增</w:t>
            </w:r>
            <w:proofErr w:type="gramStart"/>
            <w:r w:rsidRPr="00400B64">
              <w:rPr>
                <w:rFonts w:ascii="宋体" w:eastAsia="宋体" w:hAnsi="宋体" w:hint="eastAsia"/>
                <w:szCs w:val="21"/>
              </w:rPr>
              <w:t>时代央地关系</w:t>
            </w:r>
            <w:proofErr w:type="gramEnd"/>
          </w:p>
        </w:tc>
        <w:tc>
          <w:tcPr>
            <w:tcW w:w="2693" w:type="dxa"/>
            <w:vAlign w:val="center"/>
          </w:tcPr>
          <w:p w14:paraId="720B627A" w14:textId="77777777" w:rsidR="00C22623" w:rsidRDefault="00962B49" w:rsidP="00962B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962B49">
              <w:rPr>
                <w:rFonts w:ascii="宋体" w:eastAsia="宋体" w:hAnsi="宋体" w:hint="eastAsia"/>
                <w:szCs w:val="21"/>
              </w:rPr>
              <w:t>营改增的原因</w:t>
            </w:r>
            <w:r>
              <w:rPr>
                <w:rFonts w:ascii="宋体" w:eastAsia="宋体" w:hAnsi="宋体" w:hint="eastAsia"/>
                <w:szCs w:val="21"/>
              </w:rPr>
              <w:t>及</w:t>
            </w:r>
            <w:r w:rsidRPr="00962B49">
              <w:rPr>
                <w:rFonts w:ascii="宋体" w:eastAsia="宋体" w:hAnsi="宋体"/>
                <w:szCs w:val="21"/>
              </w:rPr>
              <w:t>效果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14:paraId="07E5F671" w14:textId="2E629B59" w:rsidR="00962B49" w:rsidRPr="00962B49" w:rsidRDefault="00962B49" w:rsidP="00962B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962B49">
              <w:rPr>
                <w:rFonts w:ascii="宋体" w:eastAsia="宋体" w:hAnsi="宋体" w:hint="eastAsia"/>
                <w:szCs w:val="21"/>
              </w:rPr>
              <w:t>后营改增时代</w:t>
            </w:r>
            <w:proofErr w:type="gramStart"/>
            <w:r w:rsidRPr="00962B49">
              <w:rPr>
                <w:rFonts w:ascii="宋体" w:eastAsia="宋体" w:hAnsi="宋体" w:hint="eastAsia"/>
                <w:szCs w:val="21"/>
              </w:rPr>
              <w:t>的央地财政</w:t>
            </w:r>
            <w:proofErr w:type="gramEnd"/>
            <w:r w:rsidRPr="00962B49">
              <w:rPr>
                <w:rFonts w:ascii="宋体" w:eastAsia="宋体" w:hAnsi="宋体" w:hint="eastAsia"/>
                <w:szCs w:val="21"/>
              </w:rPr>
              <w:t>状况分析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14:paraId="69939930" w14:textId="41C8AAFC" w:rsidR="00962B49" w:rsidRDefault="00962B49" w:rsidP="00962B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962B49">
              <w:rPr>
                <w:rFonts w:ascii="宋体" w:eastAsia="宋体" w:hAnsi="宋体"/>
                <w:szCs w:val="21"/>
              </w:rPr>
              <w:t>后营改增时代地方税体系的完善</w:t>
            </w:r>
          </w:p>
        </w:tc>
        <w:tc>
          <w:tcPr>
            <w:tcW w:w="709" w:type="dxa"/>
            <w:vAlign w:val="center"/>
          </w:tcPr>
          <w:p w14:paraId="5E68A838" w14:textId="36842680" w:rsidR="00C22623" w:rsidRDefault="00962B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700A47C1" w14:textId="382522BF" w:rsidR="00C22623" w:rsidRDefault="00962B49" w:rsidP="00962B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从</w:t>
            </w:r>
            <w:r w:rsidRPr="00962B49">
              <w:rPr>
                <w:rFonts w:ascii="宋体" w:eastAsia="宋体" w:hAnsi="宋体" w:hint="eastAsia"/>
                <w:szCs w:val="21"/>
              </w:rPr>
              <w:t>消费者</w:t>
            </w:r>
            <w:r>
              <w:rPr>
                <w:rFonts w:ascii="宋体" w:eastAsia="宋体" w:hAnsi="宋体" w:hint="eastAsia"/>
                <w:szCs w:val="21"/>
              </w:rPr>
              <w:t>、企业、政府等多重角度思考营改增</w:t>
            </w:r>
            <w:r w:rsidRPr="00962B49">
              <w:rPr>
                <w:rFonts w:ascii="宋体" w:eastAsia="宋体" w:hAnsi="宋体" w:hint="eastAsia"/>
                <w:szCs w:val="21"/>
              </w:rPr>
              <w:t>的影响</w:t>
            </w:r>
          </w:p>
        </w:tc>
        <w:tc>
          <w:tcPr>
            <w:tcW w:w="504" w:type="dxa"/>
            <w:vAlign w:val="center"/>
          </w:tcPr>
          <w:p w14:paraId="556FA807" w14:textId="77777777" w:rsidR="00C22623" w:rsidRDefault="00C2262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62B49" w14:paraId="4C59726F" w14:textId="77777777" w:rsidTr="00D75DBC">
        <w:trPr>
          <w:trHeight w:val="340"/>
          <w:jc w:val="center"/>
        </w:trPr>
        <w:tc>
          <w:tcPr>
            <w:tcW w:w="562" w:type="dxa"/>
            <w:vAlign w:val="center"/>
          </w:tcPr>
          <w:p w14:paraId="4CFD8508" w14:textId="5D597927" w:rsidR="00962B49" w:rsidRDefault="00962B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567" w:type="dxa"/>
            <w:vAlign w:val="center"/>
          </w:tcPr>
          <w:p w14:paraId="34E566BD" w14:textId="77777777" w:rsidR="00962B49" w:rsidRDefault="00962B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FA32A8A" w14:textId="0AAFEBB7" w:rsidR="00962B49" w:rsidRDefault="00962B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考试周</w:t>
            </w:r>
          </w:p>
        </w:tc>
        <w:tc>
          <w:tcPr>
            <w:tcW w:w="2693" w:type="dxa"/>
            <w:vAlign w:val="center"/>
          </w:tcPr>
          <w:p w14:paraId="11A3CDB9" w14:textId="77777777" w:rsidR="00962B49" w:rsidRDefault="00962B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417E0A9" w14:textId="77777777" w:rsidR="00962B49" w:rsidRDefault="00962B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312A4E9" w14:textId="77777777" w:rsidR="00962B49" w:rsidRDefault="00962B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04" w:type="dxa"/>
            <w:vAlign w:val="center"/>
          </w:tcPr>
          <w:p w14:paraId="6D4D5F99" w14:textId="77777777" w:rsidR="00962B49" w:rsidRDefault="00962B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5F37C6A5" w14:textId="77777777" w:rsidR="00C22623" w:rsidRDefault="00000000" w:rsidP="00C52430">
      <w:pPr>
        <w:widowControl/>
        <w:spacing w:beforeLines="50" w:before="156" w:afterLines="50" w:after="156"/>
        <w:ind w:firstLineChars="100" w:firstLine="281"/>
        <w:jc w:val="left"/>
        <w:rPr>
          <w:rFonts w:eastAsia="黑体"/>
        </w:rPr>
      </w:pPr>
      <w:r>
        <w:rPr>
          <w:rFonts w:ascii="黑体" w:eastAsia="黑体" w:hAnsi="黑体" w:hint="eastAsia"/>
          <w:b/>
          <w:sz w:val="28"/>
          <w:szCs w:val="28"/>
        </w:rPr>
        <w:t>六、教材及参考书目（以最新版为准）</w:t>
      </w:r>
    </w:p>
    <w:p w14:paraId="79CC98B5" w14:textId="4C2B8667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9B392C" w:rsidRPr="001C3747">
        <w:rPr>
          <w:rFonts w:ascii="宋体" w:eastAsia="宋体" w:hAnsi="宋体" w:cs="宋体" w:hint="eastAsia"/>
          <w:szCs w:val="21"/>
        </w:rPr>
        <w:t>何杨</w:t>
      </w:r>
      <w:r w:rsidR="009B392C" w:rsidRPr="001C3747">
        <w:rPr>
          <w:rFonts w:ascii="宋体" w:eastAsia="宋体" w:hAnsi="宋体" w:cs="宋体"/>
          <w:szCs w:val="21"/>
        </w:rPr>
        <w:t xml:space="preserve">. </w:t>
      </w:r>
      <w:r w:rsidR="009B392C">
        <w:rPr>
          <w:rFonts w:ascii="宋体" w:eastAsia="宋体" w:hAnsi="宋体" w:cs="宋体" w:hint="eastAsia"/>
          <w:szCs w:val="21"/>
        </w:rPr>
        <w:t>《</w:t>
      </w:r>
      <w:r w:rsidR="009B392C" w:rsidRPr="001C3747">
        <w:rPr>
          <w:rFonts w:ascii="宋体" w:eastAsia="宋体" w:hAnsi="宋体" w:cs="宋体"/>
          <w:szCs w:val="21"/>
        </w:rPr>
        <w:t>财政学前沿文献导读</w:t>
      </w:r>
      <w:r w:rsidR="009B392C">
        <w:rPr>
          <w:rFonts w:ascii="宋体" w:eastAsia="宋体" w:hAnsi="宋体" w:cs="宋体" w:hint="eastAsia"/>
          <w:szCs w:val="21"/>
        </w:rPr>
        <w:t>》，</w:t>
      </w:r>
      <w:r w:rsidR="009B392C" w:rsidRPr="001C3747">
        <w:rPr>
          <w:rFonts w:ascii="宋体" w:eastAsia="宋体" w:hAnsi="宋体" w:cs="宋体"/>
          <w:szCs w:val="21"/>
        </w:rPr>
        <w:t xml:space="preserve"> 中国财政经济出版社，2020年</w:t>
      </w:r>
      <w:r>
        <w:rPr>
          <w:rFonts w:ascii="宋体" w:eastAsia="宋体" w:hAnsi="宋体" w:hint="eastAsia"/>
        </w:rPr>
        <w:t>；</w:t>
      </w:r>
    </w:p>
    <w:p w14:paraId="390B3FC1" w14:textId="2234B58B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</w:t>
      </w:r>
      <w:r w:rsidR="009B392C" w:rsidRPr="009B392C">
        <w:rPr>
          <w:rFonts w:ascii="宋体" w:eastAsia="宋体" w:hAnsi="宋体"/>
        </w:rPr>
        <w:t>OECD</w:t>
      </w:r>
      <w:r w:rsidR="009B392C">
        <w:rPr>
          <w:rFonts w:ascii="宋体" w:eastAsia="宋体" w:hAnsi="宋体"/>
        </w:rPr>
        <w:t>.</w:t>
      </w:r>
      <w:r w:rsidR="009B392C" w:rsidRPr="009B392C">
        <w:rPr>
          <w:rFonts w:ascii="宋体" w:eastAsia="宋体" w:hAnsi="宋体"/>
        </w:rPr>
        <w:t xml:space="preserve"> </w:t>
      </w:r>
      <w:r w:rsidR="009B392C" w:rsidRPr="009B392C">
        <w:rPr>
          <w:rFonts w:ascii="宋体" w:eastAsia="宋体" w:hAnsi="宋体"/>
          <w:i/>
          <w:iCs/>
        </w:rPr>
        <w:t>Measuring Tax Support for R&amp;D and Innovation</w:t>
      </w:r>
      <w:r w:rsidR="009B392C" w:rsidRPr="009B392C">
        <w:rPr>
          <w:rFonts w:ascii="宋体" w:eastAsia="宋体" w:hAnsi="宋体"/>
        </w:rPr>
        <w:t>.</w:t>
      </w:r>
      <w:r w:rsidR="009B392C">
        <w:rPr>
          <w:rFonts w:ascii="宋体" w:eastAsia="宋体" w:hAnsi="宋体"/>
        </w:rPr>
        <w:t xml:space="preserve"> OECD publishing</w:t>
      </w:r>
      <w:r w:rsidR="009B392C" w:rsidRPr="009B392C">
        <w:rPr>
          <w:rFonts w:ascii="宋体" w:eastAsia="宋体" w:hAnsi="宋体"/>
        </w:rPr>
        <w:t>, 2021</w:t>
      </w:r>
      <w:r>
        <w:rPr>
          <w:rFonts w:ascii="宋体" w:eastAsia="宋体" w:hAnsi="宋体" w:hint="eastAsia"/>
        </w:rPr>
        <w:t>；</w:t>
      </w:r>
    </w:p>
    <w:p w14:paraId="7F99AD72" w14:textId="3D509EA8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3.</w:t>
      </w:r>
      <w:r w:rsidR="009B392C" w:rsidRPr="009B392C">
        <w:rPr>
          <w:rFonts w:hint="eastAsia"/>
        </w:rPr>
        <w:t xml:space="preserve"> </w:t>
      </w:r>
      <w:r w:rsidR="009B392C" w:rsidRPr="009B392C">
        <w:rPr>
          <w:rFonts w:ascii="宋体" w:eastAsia="宋体" w:hAnsi="宋体" w:hint="eastAsia"/>
        </w:rPr>
        <w:t>代灵敏</w:t>
      </w:r>
      <w:r w:rsidR="009B392C" w:rsidRPr="009B392C">
        <w:rPr>
          <w:rFonts w:ascii="宋体" w:eastAsia="宋体" w:hAnsi="宋体"/>
        </w:rPr>
        <w:t>.</w:t>
      </w:r>
      <w:r w:rsidR="009B392C">
        <w:rPr>
          <w:rFonts w:ascii="宋体" w:eastAsia="宋体" w:hAnsi="宋体" w:hint="eastAsia"/>
        </w:rPr>
        <w:t>《</w:t>
      </w:r>
      <w:r w:rsidR="009B392C" w:rsidRPr="009B392C">
        <w:rPr>
          <w:rFonts w:ascii="宋体" w:eastAsia="宋体" w:hAnsi="宋体"/>
        </w:rPr>
        <w:t>我国绿色公共预算制度构建研究</w:t>
      </w:r>
      <w:r w:rsidR="009B392C">
        <w:rPr>
          <w:rFonts w:ascii="宋体" w:eastAsia="宋体" w:hAnsi="宋体" w:hint="eastAsia"/>
        </w:rPr>
        <w:t>》</w:t>
      </w:r>
      <w:r w:rsidR="009B392C" w:rsidRPr="009B392C">
        <w:rPr>
          <w:rFonts w:ascii="宋体" w:eastAsia="宋体" w:hAnsi="宋体"/>
        </w:rPr>
        <w:t>. 集美大学， 2021</w:t>
      </w:r>
      <w:r>
        <w:rPr>
          <w:rFonts w:ascii="宋体" w:eastAsia="宋体" w:hAnsi="宋体" w:hint="eastAsia"/>
        </w:rPr>
        <w:t>。</w:t>
      </w:r>
    </w:p>
    <w:p w14:paraId="459FE28E" w14:textId="4CED06B1" w:rsidR="00C22623" w:rsidRDefault="00000000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  <w:r w:rsidR="0054714E">
        <w:rPr>
          <w:rFonts w:ascii="黑体" w:eastAsia="黑体" w:hAnsi="黑体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</w:p>
    <w:p w14:paraId="21C32A0B" w14:textId="77777777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1．讲授法：理论讲授，主要教学方法，贯穿教学全过程。</w:t>
      </w:r>
    </w:p>
    <w:p w14:paraId="5730B446" w14:textId="77777777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2．讨论法：对本门课程的主要内容，采用问题形式，在师生和学生之间展开讨论。</w:t>
      </w:r>
    </w:p>
    <w:p w14:paraId="0280B7D3" w14:textId="78A544A6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</w:t>
      </w:r>
      <w:r w:rsidR="00DC6C4D"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比较法：通过比较不同方法</w:t>
      </w:r>
      <w:r w:rsidR="00DC6C4D">
        <w:rPr>
          <w:rFonts w:ascii="宋体" w:eastAsia="宋体" w:hAnsi="宋体" w:hint="eastAsia"/>
        </w:rPr>
        <w:t>、不同策略</w:t>
      </w:r>
      <w:r>
        <w:rPr>
          <w:rFonts w:ascii="宋体" w:eastAsia="宋体" w:hAnsi="宋体" w:hint="eastAsia"/>
        </w:rPr>
        <w:t>等，深化学生对相关知识点的认识。</w:t>
      </w:r>
    </w:p>
    <w:p w14:paraId="1F18DDB1" w14:textId="1DC7039F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</w:t>
      </w:r>
      <w:r w:rsidR="00DC6C4D"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举例法：通过举例，强化学生对相关知识点的认识。</w:t>
      </w:r>
    </w:p>
    <w:p w14:paraId="7327799F" w14:textId="77777777" w:rsidR="00C22623" w:rsidRDefault="00000000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  <w:r w:rsidRPr="0014713A">
        <w:rPr>
          <w:rFonts w:ascii="黑体" w:eastAsia="黑体" w:hAnsi="黑体" w:hint="eastAsia"/>
          <w:b/>
          <w:color w:val="FF0000"/>
          <w:sz w:val="28"/>
          <w:szCs w:val="28"/>
        </w:rPr>
        <w:t xml:space="preserve"> </w:t>
      </w:r>
      <w:r w:rsidRPr="00803D0E">
        <w:rPr>
          <w:rFonts w:ascii="黑体" w:eastAsia="黑体" w:hAnsi="黑体" w:hint="eastAsia"/>
          <w:b/>
          <w:sz w:val="28"/>
          <w:szCs w:val="28"/>
        </w:rPr>
        <w:t>八</w:t>
      </w:r>
      <w:r w:rsidRPr="00803D0E">
        <w:rPr>
          <w:rFonts w:ascii="黑体" w:eastAsia="黑体" w:hAnsi="黑体" w:cs="黑体" w:hint="eastAsia"/>
          <w:b/>
          <w:sz w:val="28"/>
          <w:szCs w:val="28"/>
        </w:rPr>
        <w:t>、</w:t>
      </w:r>
      <w:r w:rsidRPr="00803D0E">
        <w:rPr>
          <w:rFonts w:ascii="黑体" w:eastAsia="黑体" w:hAnsi="黑体" w:hint="eastAsia"/>
          <w:b/>
          <w:sz w:val="28"/>
          <w:szCs w:val="28"/>
        </w:rPr>
        <w:t>考核方式</w:t>
      </w:r>
      <w:r>
        <w:rPr>
          <w:rFonts w:ascii="黑体" w:eastAsia="黑体" w:hAnsi="黑体" w:hint="eastAsia"/>
          <w:b/>
          <w:sz w:val="28"/>
          <w:szCs w:val="28"/>
        </w:rPr>
        <w:t>及评定方法</w:t>
      </w:r>
    </w:p>
    <w:p w14:paraId="4C71BA5A" w14:textId="77777777" w:rsidR="00C22623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14:paraId="4206F69F" w14:textId="77777777" w:rsidR="00C22623" w:rsidRDefault="0000000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819"/>
        <w:gridCol w:w="1604"/>
      </w:tblGrid>
      <w:tr w:rsidR="00C22623" w14:paraId="5B456EEA" w14:textId="77777777" w:rsidTr="00005E5E">
        <w:trPr>
          <w:trHeight w:val="567"/>
          <w:jc w:val="center"/>
        </w:trPr>
        <w:tc>
          <w:tcPr>
            <w:tcW w:w="2122" w:type="dxa"/>
            <w:vAlign w:val="center"/>
          </w:tcPr>
          <w:p w14:paraId="20300921" w14:textId="77777777" w:rsidR="00C22623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4819" w:type="dxa"/>
            <w:vAlign w:val="center"/>
          </w:tcPr>
          <w:p w14:paraId="6DDB08E2" w14:textId="77777777" w:rsidR="00C22623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1604" w:type="dxa"/>
            <w:vAlign w:val="center"/>
          </w:tcPr>
          <w:p w14:paraId="06F0B466" w14:textId="77777777" w:rsidR="00C22623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C22623" w14:paraId="4A40132F" w14:textId="77777777" w:rsidTr="00005E5E">
        <w:trPr>
          <w:trHeight w:val="567"/>
          <w:jc w:val="center"/>
        </w:trPr>
        <w:tc>
          <w:tcPr>
            <w:tcW w:w="2122" w:type="dxa"/>
            <w:vAlign w:val="center"/>
          </w:tcPr>
          <w:p w14:paraId="11BCFA40" w14:textId="77777777" w:rsidR="00C22623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4819" w:type="dxa"/>
            <w:vAlign w:val="center"/>
          </w:tcPr>
          <w:p w14:paraId="5B14EC00" w14:textId="77777777" w:rsidR="00B35C06" w:rsidRPr="00005E5E" w:rsidRDefault="00B35C06" w:rsidP="00005E5E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005E5E">
              <w:rPr>
                <w:rFonts w:hAnsi="宋体" w:hint="eastAsia"/>
                <w:bCs/>
              </w:rPr>
              <w:t>政府干预企业研发创新的理论基础；</w:t>
            </w:r>
          </w:p>
          <w:p w14:paraId="3E5D8FC9" w14:textId="77777777" w:rsidR="00B35C06" w:rsidRPr="00005E5E" w:rsidRDefault="00B35C06" w:rsidP="00005E5E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005E5E">
              <w:rPr>
                <w:rFonts w:hAnsi="宋体" w:hint="eastAsia"/>
                <w:bCs/>
              </w:rPr>
              <w:t>财政学视角下的公立医院改革；</w:t>
            </w:r>
          </w:p>
          <w:p w14:paraId="2661EF62" w14:textId="3202425C" w:rsidR="00B35C06" w:rsidRPr="00005E5E" w:rsidRDefault="00B35C06" w:rsidP="00005E5E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005E5E">
              <w:rPr>
                <w:rFonts w:hAnsi="宋体" w:hint="eastAsia"/>
                <w:bCs/>
              </w:rPr>
              <w:t>企业职工基本养老保险现存问题解决方法及</w:t>
            </w:r>
            <w:r w:rsidR="00005E5E">
              <w:rPr>
                <w:rFonts w:hAnsi="宋体" w:hint="eastAsia"/>
                <w:bCs/>
              </w:rPr>
              <w:t>其在</w:t>
            </w:r>
            <w:r w:rsidRPr="00005E5E">
              <w:rPr>
                <w:rFonts w:hAnsi="宋体" w:hint="eastAsia"/>
                <w:bCs/>
              </w:rPr>
              <w:t>生育率下降背景下的实施效果、难点与应对；</w:t>
            </w:r>
          </w:p>
          <w:p w14:paraId="19D92AAA" w14:textId="16294285" w:rsidR="00C22623" w:rsidRPr="00005E5E" w:rsidRDefault="00B35C06" w:rsidP="00005E5E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005E5E">
              <w:rPr>
                <w:rFonts w:hAnsi="宋体" w:hint="eastAsia"/>
                <w:bCs/>
              </w:rPr>
              <w:t>后营改增时代地方税体系的完善</w:t>
            </w:r>
          </w:p>
        </w:tc>
        <w:tc>
          <w:tcPr>
            <w:tcW w:w="1604" w:type="dxa"/>
            <w:vAlign w:val="center"/>
          </w:tcPr>
          <w:p w14:paraId="3B468530" w14:textId="77777777" w:rsidR="00C22623" w:rsidRDefault="00000000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1B705C94" w14:textId="77777777" w:rsidR="00C22623" w:rsidRDefault="00000000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409C60F3" w14:textId="77777777" w:rsidR="00C22623" w:rsidRDefault="00000000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C22623" w14:paraId="0CB34C45" w14:textId="77777777" w:rsidTr="00005E5E">
        <w:trPr>
          <w:trHeight w:val="567"/>
          <w:jc w:val="center"/>
        </w:trPr>
        <w:tc>
          <w:tcPr>
            <w:tcW w:w="2122" w:type="dxa"/>
            <w:vAlign w:val="center"/>
          </w:tcPr>
          <w:p w14:paraId="172CC1CD" w14:textId="77777777" w:rsidR="00C22623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4819" w:type="dxa"/>
            <w:vAlign w:val="center"/>
          </w:tcPr>
          <w:p w14:paraId="3F36BC17" w14:textId="77777777" w:rsidR="00B35C06" w:rsidRPr="00005E5E" w:rsidRDefault="00B35C06" w:rsidP="00005E5E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Cs/>
                <w:szCs w:val="20"/>
              </w:rPr>
            </w:pPr>
            <w:r w:rsidRPr="00005E5E">
              <w:rPr>
                <w:rFonts w:ascii="宋体" w:eastAsia="宋体" w:hAnsi="宋体" w:cs="宋体" w:hint="eastAsia"/>
                <w:bCs/>
                <w:szCs w:val="20"/>
              </w:rPr>
              <w:t>“绿色”预算；</w:t>
            </w:r>
          </w:p>
          <w:p w14:paraId="2B139324" w14:textId="53715E2D" w:rsidR="00C22623" w:rsidRPr="00005E5E" w:rsidRDefault="00B35C06" w:rsidP="00005E5E">
            <w:pPr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005E5E">
              <w:rPr>
                <w:rFonts w:ascii="宋体" w:eastAsia="宋体" w:hAnsi="宋体" w:cs="宋体" w:hint="eastAsia"/>
                <w:bCs/>
                <w:szCs w:val="20"/>
              </w:rPr>
              <w:t>民生预算</w:t>
            </w:r>
          </w:p>
        </w:tc>
        <w:tc>
          <w:tcPr>
            <w:tcW w:w="1604" w:type="dxa"/>
            <w:vAlign w:val="center"/>
          </w:tcPr>
          <w:p w14:paraId="2900925D" w14:textId="77777777" w:rsidR="00C22623" w:rsidRDefault="00000000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15FBBBCD" w14:textId="77777777" w:rsidR="00C22623" w:rsidRDefault="00000000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75605BEB" w14:textId="77777777" w:rsidR="00C22623" w:rsidRDefault="00000000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C22623" w14:paraId="21E11524" w14:textId="77777777" w:rsidTr="00005E5E">
        <w:trPr>
          <w:trHeight w:val="567"/>
          <w:jc w:val="center"/>
        </w:trPr>
        <w:tc>
          <w:tcPr>
            <w:tcW w:w="2122" w:type="dxa"/>
            <w:vAlign w:val="center"/>
          </w:tcPr>
          <w:p w14:paraId="5581BD52" w14:textId="77777777" w:rsidR="00C22623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4819" w:type="dxa"/>
            <w:vAlign w:val="center"/>
          </w:tcPr>
          <w:p w14:paraId="3F4B958C" w14:textId="77777777" w:rsidR="00005E5E" w:rsidRPr="00005E5E" w:rsidRDefault="00005E5E" w:rsidP="00005E5E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005E5E">
              <w:rPr>
                <w:rFonts w:hAnsi="宋体" w:hint="eastAsia"/>
                <w:bCs/>
              </w:rPr>
              <w:t>技术进步对税收征管的影响；</w:t>
            </w:r>
          </w:p>
          <w:p w14:paraId="51B500F0" w14:textId="77777777" w:rsidR="00005E5E" w:rsidRPr="00005E5E" w:rsidRDefault="00005E5E" w:rsidP="00005E5E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005E5E">
              <w:rPr>
                <w:rFonts w:hAnsi="宋体" w:hint="eastAsia"/>
                <w:bCs/>
              </w:rPr>
              <w:t>企业研发不同阶段的税收激励政策差异；</w:t>
            </w:r>
          </w:p>
          <w:p w14:paraId="27F1D24D" w14:textId="77777777" w:rsidR="00005E5E" w:rsidRPr="00005E5E" w:rsidRDefault="00005E5E" w:rsidP="00005E5E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005E5E">
              <w:rPr>
                <w:rFonts w:hAnsi="宋体" w:hint="eastAsia"/>
                <w:bCs/>
              </w:rPr>
              <w:t>促进企业研发的税收激励政策的洲际差异；</w:t>
            </w:r>
          </w:p>
          <w:p w14:paraId="44E82AB0" w14:textId="77777777" w:rsidR="00005E5E" w:rsidRPr="00005E5E" w:rsidRDefault="00005E5E" w:rsidP="00005E5E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005E5E">
              <w:rPr>
                <w:rFonts w:hAnsi="宋体" w:hint="eastAsia"/>
                <w:bCs/>
              </w:rPr>
              <w:t>税收影响企业研发创新的作用机制；</w:t>
            </w:r>
          </w:p>
          <w:p w14:paraId="6D48CCDA" w14:textId="23BAE0FE" w:rsidR="00C22623" w:rsidRPr="00005E5E" w:rsidRDefault="00005E5E" w:rsidP="00005E5E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005E5E">
              <w:rPr>
                <w:rFonts w:hAnsi="宋体" w:hint="eastAsia"/>
                <w:bCs/>
              </w:rPr>
              <w:t>营改增的原因分析</w:t>
            </w:r>
          </w:p>
        </w:tc>
        <w:tc>
          <w:tcPr>
            <w:tcW w:w="1604" w:type="dxa"/>
            <w:vAlign w:val="center"/>
          </w:tcPr>
          <w:p w14:paraId="1CE7ADC6" w14:textId="77777777" w:rsidR="00C22623" w:rsidRDefault="00000000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7F025207" w14:textId="77777777" w:rsidR="00C22623" w:rsidRDefault="00000000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1711D33A" w14:textId="77777777" w:rsidR="00C22623" w:rsidRDefault="00000000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</w:tbl>
    <w:p w14:paraId="52F4BAFA" w14:textId="77777777" w:rsidR="00C22623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14:paraId="11B5EBCE" w14:textId="77777777" w:rsidR="00C22623" w:rsidRDefault="00000000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14:paraId="0B23EF4B" w14:textId="028FFEE6" w:rsidR="00C22623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平时成绩（含考勤、课堂表现与作业）</w:t>
      </w:r>
      <w:r w:rsidR="00A77573"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，期末考试6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cs="宋体" w:hint="eastAsia"/>
          <w:color w:val="000000"/>
          <w:szCs w:val="21"/>
        </w:rPr>
        <w:t>。</w:t>
      </w:r>
    </w:p>
    <w:p w14:paraId="7C9FBF39" w14:textId="77777777" w:rsidR="00C22623" w:rsidRDefault="00000000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2．课程目标的</w:t>
      </w:r>
      <w:proofErr w:type="gramStart"/>
      <w:r>
        <w:rPr>
          <w:rFonts w:ascii="宋体" w:eastAsia="宋体" w:hAnsi="宋体" w:hint="eastAsia"/>
          <w:b/>
        </w:rPr>
        <w:t>考核</w:t>
      </w:r>
      <w:r w:rsidRPr="00803D0E">
        <w:rPr>
          <w:rFonts w:ascii="宋体" w:eastAsia="宋体" w:hAnsi="宋体" w:hint="eastAsia"/>
          <w:b/>
        </w:rPr>
        <w:t>占</w:t>
      </w:r>
      <w:proofErr w:type="gramEnd"/>
      <w:r w:rsidRPr="00803D0E">
        <w:rPr>
          <w:rFonts w:ascii="宋体" w:eastAsia="宋体" w:hAnsi="宋体" w:hint="eastAsia"/>
          <w:b/>
        </w:rPr>
        <w:t>比与达</w:t>
      </w:r>
      <w:r>
        <w:rPr>
          <w:rFonts w:ascii="宋体" w:eastAsia="宋体" w:hAnsi="宋体" w:hint="eastAsia"/>
          <w:b/>
        </w:rPr>
        <w:t xml:space="preserve">成度分析 </w:t>
      </w:r>
    </w:p>
    <w:p w14:paraId="1777E9A4" w14:textId="77777777" w:rsidR="00C22623" w:rsidRDefault="00000000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>比与达成</w:t>
      </w:r>
      <w:proofErr w:type="gramStart"/>
      <w:r>
        <w:rPr>
          <w:rFonts w:ascii="宋体" w:eastAsia="宋体" w:hAnsi="宋体" w:hint="eastAsia"/>
          <w:b/>
        </w:rPr>
        <w:t>度分析</w:t>
      </w:r>
      <w:proofErr w:type="gramEnd"/>
      <w:r>
        <w:rPr>
          <w:rFonts w:ascii="宋体" w:eastAsia="宋体" w:hAnsi="宋体" w:hint="eastAsia"/>
          <w:b/>
        </w:rPr>
        <w:t>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1567"/>
        <w:gridCol w:w="2627"/>
      </w:tblGrid>
      <w:tr w:rsidR="00803D0E" w14:paraId="5B9F46F3" w14:textId="77777777" w:rsidTr="00803D0E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E4AFCD6" w14:textId="77777777" w:rsidR="00803D0E" w:rsidRDefault="00803D0E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14:paraId="4DD289CA" w14:textId="77777777" w:rsidR="00803D0E" w:rsidRDefault="00803D0E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FCE187" w14:textId="77777777" w:rsidR="00803D0E" w:rsidRDefault="00803D0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281EE90" w14:textId="77777777" w:rsidR="00803D0E" w:rsidRDefault="00803D0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5DA9F16A" w14:textId="77777777" w:rsidR="00803D0E" w:rsidRDefault="00803D0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803D0E" w14:paraId="2E9E7CFF" w14:textId="77777777" w:rsidTr="00803D0E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871B125" w14:textId="77777777" w:rsidR="00803D0E" w:rsidRDefault="00803D0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A59C41" w14:textId="6CDC9E61" w:rsidR="00803D0E" w:rsidRDefault="00803D0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F67138C" w14:textId="43B1F20F" w:rsidR="00803D0E" w:rsidRDefault="00803D0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7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1065DB65" w14:textId="216F76F6" w:rsidR="00803D0E" w:rsidRDefault="00803D0E">
            <w:pPr>
              <w:spacing w:beforeLines="50" w:before="156" w:afterLines="50" w:after="156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总评达成度={0.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ｘ平时分目标成绩+0.6ｘ期末分目标成绩 }/分目标总分</w:t>
            </w:r>
          </w:p>
        </w:tc>
      </w:tr>
      <w:tr w:rsidR="00803D0E" w14:paraId="229E6A6F" w14:textId="77777777" w:rsidTr="00803D0E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12E0B2C" w14:textId="77777777" w:rsidR="00803D0E" w:rsidRDefault="00803D0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6F43DE" w14:textId="73DD57D6" w:rsidR="00803D0E" w:rsidRDefault="00564783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5</w:t>
            </w:r>
            <w:r w:rsidR="00803D0E"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904BB24" w14:textId="756859AD" w:rsidR="00803D0E" w:rsidRDefault="00564783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5</w:t>
            </w:r>
            <w:r w:rsidR="00803D0E"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758C4E22" w14:textId="77777777" w:rsidR="00803D0E" w:rsidRDefault="00803D0E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803D0E" w14:paraId="6D6FEB9D" w14:textId="77777777" w:rsidTr="00803D0E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265F65F" w14:textId="77777777" w:rsidR="00803D0E" w:rsidRDefault="00803D0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A97062" w14:textId="3E460F32" w:rsidR="00803D0E" w:rsidRDefault="00803D0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E596D56" w14:textId="77777777" w:rsidR="00803D0E" w:rsidRDefault="00803D0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60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67C4369C" w14:textId="77777777" w:rsidR="00803D0E" w:rsidRDefault="00803D0E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79AEEA48" w14:textId="77777777" w:rsidR="00C22623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（三）评分</w:t>
      </w:r>
      <w:r w:rsidRPr="0081203D">
        <w:rPr>
          <w:rFonts w:ascii="黑体" w:eastAsia="黑体" w:hAnsi="黑体" w:hint="eastAsia"/>
          <w:b/>
          <w:sz w:val="24"/>
          <w:szCs w:val="24"/>
        </w:rPr>
        <w:t xml:space="preserve">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C22623" w14:paraId="4C60F984" w14:textId="77777777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EBCEC" w14:textId="77777777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3B8291CF" w14:textId="77777777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09781" w14:textId="77777777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C22623" w14:paraId="68AA9DC7" w14:textId="77777777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12BFF" w14:textId="77777777" w:rsidR="00C22623" w:rsidRDefault="00C2262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B6D2" w14:textId="77777777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6051" w14:textId="77777777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EEF2" w14:textId="77777777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ACDC" w14:textId="77777777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1977" w14:textId="77777777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C22623" w14:paraId="466B53EA" w14:textId="77777777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3DA4B" w14:textId="77777777" w:rsidR="00C22623" w:rsidRDefault="00C2262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6AE1" w14:textId="77777777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087D" w14:textId="77777777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7994" w14:textId="77777777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F842" w14:textId="77777777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DF7C" w14:textId="77777777" w:rsidR="00C22623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C22623" w14:paraId="505CB8F4" w14:textId="77777777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16DF" w14:textId="77777777" w:rsidR="00C22623" w:rsidRDefault="00C2262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1AD8" w14:textId="77777777" w:rsidR="00C22623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7BEE" w14:textId="77777777" w:rsidR="00C22623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1A6C" w14:textId="77777777" w:rsidR="00C22623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8D95" w14:textId="77777777" w:rsidR="00C22623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70B6" w14:textId="77777777" w:rsidR="00C22623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C22623" w14:paraId="07A5B194" w14:textId="77777777" w:rsidTr="00E81DF0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4362" w14:textId="77777777" w:rsidR="00C22623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2695B8CE" w14:textId="77777777" w:rsidR="00C22623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8523" w14:textId="429722C2" w:rsidR="000263B9" w:rsidRDefault="00000000" w:rsidP="00E81DF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非常准确</w:t>
            </w:r>
            <w:r w:rsidR="000263B9">
              <w:rPr>
                <w:rFonts w:ascii="宋体" w:eastAsia="宋体" w:hAnsi="宋体" w:hint="eastAsia"/>
                <w:szCs w:val="21"/>
              </w:rPr>
              <w:t>深刻</w:t>
            </w:r>
            <w:r>
              <w:rPr>
                <w:rFonts w:ascii="宋体" w:eastAsia="宋体" w:hAnsi="宋体" w:hint="eastAsia"/>
                <w:szCs w:val="21"/>
              </w:rPr>
              <w:t>地</w:t>
            </w:r>
            <w:r w:rsidR="000263B9">
              <w:rPr>
                <w:rFonts w:ascii="宋体" w:eastAsia="宋体" w:hAnsi="宋体" w:hint="eastAsia"/>
                <w:szCs w:val="21"/>
              </w:rPr>
              <w:t>理解了</w:t>
            </w:r>
            <w:r w:rsidR="000263B9" w:rsidRPr="000263B9">
              <w:rPr>
                <w:rFonts w:ascii="宋体" w:eastAsia="宋体" w:hAnsi="宋体" w:hint="eastAsia"/>
                <w:szCs w:val="21"/>
              </w:rPr>
              <w:t>财政学的重要理论，并</w:t>
            </w:r>
            <w:r w:rsidR="000263B9">
              <w:rPr>
                <w:rFonts w:ascii="宋体" w:eastAsia="宋体" w:hAnsi="宋体" w:hint="eastAsia"/>
                <w:szCs w:val="21"/>
              </w:rPr>
              <w:t>很好地</w:t>
            </w:r>
            <w:r w:rsidR="000263B9" w:rsidRPr="000263B9">
              <w:rPr>
                <w:rFonts w:ascii="宋体" w:eastAsia="宋体" w:hAnsi="宋体" w:hint="eastAsia"/>
                <w:szCs w:val="21"/>
              </w:rPr>
              <w:t>将理论用于</w:t>
            </w:r>
            <w:r w:rsidR="00E81DF0">
              <w:rPr>
                <w:rFonts w:ascii="宋体" w:eastAsia="宋体" w:hAnsi="宋体" w:hint="eastAsia"/>
                <w:szCs w:val="21"/>
              </w:rPr>
              <w:t>分析和</w:t>
            </w:r>
            <w:r w:rsidR="000263B9" w:rsidRPr="000263B9">
              <w:rPr>
                <w:rFonts w:ascii="宋体" w:eastAsia="宋体" w:hAnsi="宋体" w:hint="eastAsia"/>
                <w:szCs w:val="21"/>
              </w:rPr>
              <w:t>解决实际问题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6270" w14:textId="038460F5" w:rsidR="00C22623" w:rsidRDefault="009C192D" w:rsidP="00E81DF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</w:t>
            </w:r>
            <w:r w:rsidR="000263B9">
              <w:rPr>
                <w:rFonts w:ascii="宋体" w:eastAsia="宋体" w:hAnsi="宋体" w:hint="eastAsia"/>
                <w:szCs w:val="21"/>
              </w:rPr>
              <w:t>准确深刻地理解了</w:t>
            </w:r>
            <w:r w:rsidR="000263B9" w:rsidRPr="000263B9">
              <w:rPr>
                <w:rFonts w:ascii="宋体" w:eastAsia="宋体" w:hAnsi="宋体" w:hint="eastAsia"/>
                <w:szCs w:val="21"/>
              </w:rPr>
              <w:t>财政学的重要理论，并</w:t>
            </w:r>
            <w:r>
              <w:rPr>
                <w:rFonts w:ascii="宋体" w:eastAsia="宋体" w:hAnsi="宋体" w:hint="eastAsia"/>
                <w:szCs w:val="21"/>
              </w:rPr>
              <w:t>较</w:t>
            </w:r>
            <w:r w:rsidR="000263B9">
              <w:rPr>
                <w:rFonts w:ascii="宋体" w:eastAsia="宋体" w:hAnsi="宋体" w:hint="eastAsia"/>
                <w:szCs w:val="21"/>
              </w:rPr>
              <w:t>好地</w:t>
            </w:r>
            <w:r w:rsidR="000263B9" w:rsidRPr="000263B9">
              <w:rPr>
                <w:rFonts w:ascii="宋体" w:eastAsia="宋体" w:hAnsi="宋体" w:hint="eastAsia"/>
                <w:szCs w:val="21"/>
              </w:rPr>
              <w:t>将理论用于</w:t>
            </w:r>
            <w:r w:rsidR="00E81DF0">
              <w:rPr>
                <w:rFonts w:ascii="宋体" w:eastAsia="宋体" w:hAnsi="宋体" w:hint="eastAsia"/>
                <w:szCs w:val="21"/>
              </w:rPr>
              <w:t>分析和</w:t>
            </w:r>
            <w:r w:rsidR="000263B9" w:rsidRPr="000263B9">
              <w:rPr>
                <w:rFonts w:ascii="宋体" w:eastAsia="宋体" w:hAnsi="宋体" w:hint="eastAsia"/>
                <w:szCs w:val="21"/>
              </w:rPr>
              <w:t>解决实际问题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2A8C" w14:textId="08885799" w:rsidR="00C22623" w:rsidRDefault="00000000" w:rsidP="00E81DF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9C192D" w:rsidRPr="000263B9">
              <w:rPr>
                <w:rFonts w:ascii="宋体" w:eastAsia="宋体" w:hAnsi="宋体" w:hint="eastAsia"/>
                <w:szCs w:val="21"/>
              </w:rPr>
              <w:t>财政学重要理论</w:t>
            </w:r>
            <w:r w:rsidR="009C192D">
              <w:rPr>
                <w:rFonts w:ascii="宋体" w:eastAsia="宋体" w:hAnsi="宋体" w:hint="eastAsia"/>
                <w:szCs w:val="21"/>
              </w:rPr>
              <w:t>的理解</w:t>
            </w:r>
            <w:r w:rsidR="00033DEE">
              <w:rPr>
                <w:rFonts w:ascii="宋体" w:eastAsia="宋体" w:hAnsi="宋体" w:hint="eastAsia"/>
                <w:szCs w:val="21"/>
              </w:rPr>
              <w:t>较为</w:t>
            </w:r>
            <w:r>
              <w:rPr>
                <w:rFonts w:ascii="宋体" w:eastAsia="宋体" w:hAnsi="宋体" w:hint="eastAsia"/>
                <w:szCs w:val="21"/>
              </w:rPr>
              <w:t>准确，但不够</w:t>
            </w:r>
            <w:r w:rsidR="009C192D">
              <w:rPr>
                <w:rFonts w:ascii="宋体" w:eastAsia="宋体" w:hAnsi="宋体" w:hint="eastAsia"/>
                <w:szCs w:val="21"/>
              </w:rPr>
              <w:t>深刻，能够将理论用于</w:t>
            </w:r>
            <w:r w:rsidR="00E81DF0">
              <w:rPr>
                <w:rFonts w:ascii="宋体" w:eastAsia="宋体" w:hAnsi="宋体" w:hint="eastAsia"/>
                <w:szCs w:val="21"/>
              </w:rPr>
              <w:t>分析和</w:t>
            </w:r>
            <w:r w:rsidR="009C192D" w:rsidRPr="000263B9">
              <w:rPr>
                <w:rFonts w:ascii="宋体" w:eastAsia="宋体" w:hAnsi="宋体" w:hint="eastAsia"/>
                <w:szCs w:val="21"/>
              </w:rPr>
              <w:t>解决实际问题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F7C1" w14:textId="265E4248" w:rsidR="00C22623" w:rsidRDefault="00000000" w:rsidP="00E81DF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</w:t>
            </w:r>
            <w:r w:rsidR="009C192D">
              <w:rPr>
                <w:rFonts w:ascii="宋体" w:eastAsia="宋体" w:hAnsi="宋体" w:hint="eastAsia"/>
                <w:szCs w:val="21"/>
              </w:rPr>
              <w:t>能够</w:t>
            </w:r>
            <w:r>
              <w:rPr>
                <w:rFonts w:ascii="宋体" w:eastAsia="宋体" w:hAnsi="宋体" w:hint="eastAsia"/>
                <w:szCs w:val="21"/>
              </w:rPr>
              <w:t>正确</w:t>
            </w:r>
            <w:r w:rsidR="009C192D">
              <w:rPr>
                <w:rFonts w:ascii="宋体" w:eastAsia="宋体" w:hAnsi="宋体" w:hint="eastAsia"/>
                <w:szCs w:val="21"/>
              </w:rPr>
              <w:t>理解</w:t>
            </w:r>
            <w:r w:rsidR="009C192D" w:rsidRPr="000263B9">
              <w:rPr>
                <w:rFonts w:ascii="宋体" w:eastAsia="宋体" w:hAnsi="宋体" w:hint="eastAsia"/>
                <w:szCs w:val="21"/>
              </w:rPr>
              <w:t>财政学的重要理论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781C" w14:textId="063B2745" w:rsidR="00C22623" w:rsidRDefault="009C192D" w:rsidP="00E81DF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不能正确理解</w:t>
            </w:r>
            <w:r w:rsidRPr="000263B9">
              <w:rPr>
                <w:rFonts w:ascii="宋体" w:eastAsia="宋体" w:hAnsi="宋体" w:hint="eastAsia"/>
                <w:szCs w:val="21"/>
              </w:rPr>
              <w:t>财政学的重要理论</w:t>
            </w:r>
          </w:p>
        </w:tc>
      </w:tr>
      <w:tr w:rsidR="00C22623" w14:paraId="1A65DB6D" w14:textId="77777777" w:rsidTr="00E81DF0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215A" w14:textId="77777777" w:rsidR="00C22623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05FE6871" w14:textId="77777777" w:rsidR="00C22623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7C83" w14:textId="6B6EE927" w:rsidR="00033DEE" w:rsidRDefault="00033DEE" w:rsidP="00E81DF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非常准确深刻地理解了</w:t>
            </w:r>
            <w:r w:rsidRPr="00033DEE">
              <w:rPr>
                <w:rFonts w:ascii="宋体" w:eastAsia="宋体" w:hAnsi="宋体" w:hint="eastAsia"/>
                <w:szCs w:val="21"/>
              </w:rPr>
              <w:t>财政促进可持续发展及民生预算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6FAC" w14:textId="18F35D87" w:rsidR="00C22623" w:rsidRDefault="00033DEE" w:rsidP="00E81DF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比较准确深刻地理解了</w:t>
            </w:r>
            <w:r w:rsidRPr="00033DEE">
              <w:rPr>
                <w:rFonts w:ascii="宋体" w:eastAsia="宋体" w:hAnsi="宋体" w:hint="eastAsia"/>
                <w:szCs w:val="21"/>
              </w:rPr>
              <w:t>财政促进可持续发展及民生预算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21A1" w14:textId="77E77C74" w:rsidR="00C22623" w:rsidRDefault="00033DEE" w:rsidP="00E81DF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Pr="00033DEE">
              <w:rPr>
                <w:rFonts w:ascii="宋体" w:eastAsia="宋体" w:hAnsi="宋体" w:hint="eastAsia"/>
                <w:szCs w:val="21"/>
              </w:rPr>
              <w:t>财政促进可持续发展及民生预算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理解较为准确，但不够深刻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F8FA" w14:textId="0361971C" w:rsidR="00C22623" w:rsidRDefault="00000000" w:rsidP="00E81DF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</w:t>
            </w:r>
            <w:r w:rsidR="00ED0838">
              <w:rPr>
                <w:rFonts w:ascii="宋体" w:eastAsia="宋体" w:hAnsi="宋体" w:hint="eastAsia"/>
                <w:szCs w:val="21"/>
              </w:rPr>
              <w:t>能</w:t>
            </w:r>
            <w:r>
              <w:rPr>
                <w:rFonts w:ascii="宋体" w:eastAsia="宋体" w:hAnsi="宋体" w:hint="eastAsia"/>
                <w:szCs w:val="21"/>
              </w:rPr>
              <w:t>正确理解</w:t>
            </w:r>
            <w:r w:rsidR="00033DEE" w:rsidRPr="00033DEE">
              <w:rPr>
                <w:rFonts w:ascii="宋体" w:eastAsia="宋体" w:hAnsi="宋体" w:hint="eastAsia"/>
                <w:szCs w:val="21"/>
              </w:rPr>
              <w:t>财政促进可持续发展及民生预算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6058" w14:textId="3B9E2EDE" w:rsidR="00C22623" w:rsidRDefault="00000000" w:rsidP="00E81DF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不能正确理解</w:t>
            </w:r>
            <w:r w:rsidR="00033DEE" w:rsidRPr="00033DEE">
              <w:rPr>
                <w:rFonts w:ascii="宋体" w:eastAsia="宋体" w:hAnsi="宋体" w:hint="eastAsia"/>
                <w:szCs w:val="21"/>
              </w:rPr>
              <w:t>财政促进可持续发展以及民生预算</w:t>
            </w:r>
          </w:p>
        </w:tc>
      </w:tr>
      <w:tr w:rsidR="00171145" w14:paraId="19B41E6D" w14:textId="77777777" w:rsidTr="00E81DF0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94B3" w14:textId="77777777" w:rsidR="00171145" w:rsidRDefault="00171145" w:rsidP="0017114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15188866" w14:textId="77777777" w:rsidR="00171145" w:rsidRDefault="00171145" w:rsidP="0017114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5DB6" w14:textId="2BB84AD5" w:rsidR="00171145" w:rsidRDefault="00171145" w:rsidP="00E81DF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课堂讨论和书面作业体现出</w:t>
            </w:r>
            <w:r w:rsidRPr="007E0F7A">
              <w:rPr>
                <w:rFonts w:ascii="宋体" w:eastAsia="宋体" w:hAnsi="宋体" w:hint="eastAsia"/>
                <w:szCs w:val="21"/>
              </w:rPr>
              <w:t>很好地思辨能力</w:t>
            </w:r>
            <w:r w:rsidRPr="007E0F7A">
              <w:rPr>
                <w:rFonts w:ascii="宋体" w:eastAsia="宋体" w:hAnsi="宋体"/>
                <w:szCs w:val="21"/>
              </w:rPr>
              <w:t>与</w:t>
            </w:r>
            <w:r w:rsidRPr="007E0F7A">
              <w:rPr>
                <w:rFonts w:ascii="宋体" w:eastAsia="宋体" w:hAnsi="宋体" w:hint="eastAsia"/>
                <w:szCs w:val="21"/>
              </w:rPr>
              <w:t>逻辑</w:t>
            </w:r>
            <w:r w:rsidRPr="007E0F7A">
              <w:rPr>
                <w:rFonts w:ascii="宋体" w:eastAsia="宋体" w:hAnsi="宋体"/>
                <w:szCs w:val="21"/>
              </w:rPr>
              <w:t>能力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F2D9" w14:textId="42F90C7F" w:rsidR="00171145" w:rsidRDefault="00171145" w:rsidP="00E81DF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课堂讨论和书面作业体现出较</w:t>
            </w:r>
            <w:r w:rsidRPr="007E0F7A">
              <w:rPr>
                <w:rFonts w:ascii="宋体" w:eastAsia="宋体" w:hAnsi="宋体" w:hint="eastAsia"/>
                <w:szCs w:val="21"/>
              </w:rPr>
              <w:t>好地思辨能力</w:t>
            </w:r>
            <w:r w:rsidRPr="007E0F7A">
              <w:rPr>
                <w:rFonts w:ascii="宋体" w:eastAsia="宋体" w:hAnsi="宋体"/>
                <w:szCs w:val="21"/>
              </w:rPr>
              <w:t>与</w:t>
            </w:r>
            <w:r w:rsidRPr="007E0F7A">
              <w:rPr>
                <w:rFonts w:ascii="宋体" w:eastAsia="宋体" w:hAnsi="宋体" w:hint="eastAsia"/>
                <w:szCs w:val="21"/>
              </w:rPr>
              <w:t>逻辑</w:t>
            </w:r>
            <w:r w:rsidRPr="007E0F7A">
              <w:rPr>
                <w:rFonts w:ascii="宋体" w:eastAsia="宋体" w:hAnsi="宋体"/>
                <w:szCs w:val="21"/>
              </w:rPr>
              <w:t>能力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3F9B" w14:textId="50A0A890" w:rsidR="00171145" w:rsidRDefault="00171145" w:rsidP="00E81DF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课堂讨论和书面作业体现出一定</w:t>
            </w:r>
            <w:r w:rsidR="00E81DF0">
              <w:rPr>
                <w:rFonts w:ascii="宋体" w:eastAsia="宋体" w:hAnsi="宋体" w:hint="eastAsia"/>
                <w:szCs w:val="21"/>
              </w:rPr>
              <w:t>的</w:t>
            </w:r>
            <w:r w:rsidRPr="007E0F7A">
              <w:rPr>
                <w:rFonts w:ascii="宋体" w:eastAsia="宋体" w:hAnsi="宋体" w:hint="eastAsia"/>
                <w:szCs w:val="21"/>
              </w:rPr>
              <w:t>思辨能力</w:t>
            </w:r>
            <w:r w:rsidRPr="007E0F7A">
              <w:rPr>
                <w:rFonts w:ascii="宋体" w:eastAsia="宋体" w:hAnsi="宋体"/>
                <w:szCs w:val="21"/>
              </w:rPr>
              <w:t>与</w:t>
            </w:r>
            <w:r w:rsidRPr="007E0F7A">
              <w:rPr>
                <w:rFonts w:ascii="宋体" w:eastAsia="宋体" w:hAnsi="宋体" w:hint="eastAsia"/>
                <w:szCs w:val="21"/>
              </w:rPr>
              <w:t>逻辑</w:t>
            </w:r>
            <w:r w:rsidRPr="007E0F7A">
              <w:rPr>
                <w:rFonts w:ascii="宋体" w:eastAsia="宋体" w:hAnsi="宋体"/>
                <w:szCs w:val="21"/>
              </w:rPr>
              <w:t>能力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EFCE" w14:textId="4D9C0815" w:rsidR="00171145" w:rsidRDefault="00171145" w:rsidP="00E81DF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课堂讨论和书面作业体现出</w:t>
            </w:r>
            <w:r w:rsidR="00E81DF0">
              <w:rPr>
                <w:rFonts w:ascii="宋体" w:eastAsia="宋体" w:hAnsi="宋体" w:hint="eastAsia"/>
                <w:szCs w:val="21"/>
              </w:rPr>
              <w:t>具备极其有限的</w:t>
            </w:r>
            <w:r w:rsidRPr="007E0F7A">
              <w:rPr>
                <w:rFonts w:ascii="宋体" w:eastAsia="宋体" w:hAnsi="宋体" w:hint="eastAsia"/>
                <w:szCs w:val="21"/>
              </w:rPr>
              <w:t>思辨</w:t>
            </w:r>
            <w:r w:rsidR="00E81DF0">
              <w:rPr>
                <w:rFonts w:ascii="宋体" w:eastAsia="宋体" w:hAnsi="宋体" w:hint="eastAsia"/>
                <w:szCs w:val="21"/>
              </w:rPr>
              <w:t>能力和</w:t>
            </w:r>
            <w:r w:rsidRPr="007E0F7A">
              <w:rPr>
                <w:rFonts w:ascii="宋体" w:eastAsia="宋体" w:hAnsi="宋体" w:hint="eastAsia"/>
                <w:szCs w:val="21"/>
              </w:rPr>
              <w:t>逻辑</w:t>
            </w:r>
            <w:r w:rsidR="00E81DF0">
              <w:rPr>
                <w:rFonts w:ascii="宋体" w:eastAsia="宋体" w:hAnsi="宋体" w:hint="eastAsia"/>
                <w:szCs w:val="21"/>
              </w:rPr>
              <w:t>能力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8B27" w14:textId="7180EC90" w:rsidR="00171145" w:rsidRDefault="00171145" w:rsidP="00E81DF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不具备</w:t>
            </w:r>
            <w:r w:rsidRPr="007E0F7A">
              <w:rPr>
                <w:rFonts w:ascii="宋体" w:eastAsia="宋体" w:hAnsi="宋体" w:hint="eastAsia"/>
                <w:szCs w:val="21"/>
              </w:rPr>
              <w:t>思辨能力</w:t>
            </w:r>
            <w:r w:rsidRPr="007E0F7A">
              <w:rPr>
                <w:rFonts w:ascii="宋体" w:eastAsia="宋体" w:hAnsi="宋体"/>
                <w:szCs w:val="21"/>
              </w:rPr>
              <w:t>与</w:t>
            </w:r>
            <w:r w:rsidRPr="007E0F7A">
              <w:rPr>
                <w:rFonts w:ascii="宋体" w:eastAsia="宋体" w:hAnsi="宋体" w:hint="eastAsia"/>
                <w:szCs w:val="21"/>
              </w:rPr>
              <w:t>逻辑</w:t>
            </w:r>
            <w:r w:rsidRPr="007E0F7A">
              <w:rPr>
                <w:rFonts w:ascii="宋体" w:eastAsia="宋体" w:hAnsi="宋体"/>
                <w:szCs w:val="21"/>
              </w:rPr>
              <w:t>能力</w:t>
            </w:r>
          </w:p>
        </w:tc>
      </w:tr>
    </w:tbl>
    <w:p w14:paraId="2E000B79" w14:textId="77777777" w:rsidR="00C22623" w:rsidRDefault="00C22623">
      <w:pPr>
        <w:widowControl/>
        <w:jc w:val="left"/>
        <w:rPr>
          <w:rFonts w:ascii="宋体" w:eastAsia="宋体" w:hAnsi="宋体"/>
        </w:rPr>
      </w:pPr>
    </w:p>
    <w:sectPr w:rsidR="00C22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818AD" w14:textId="77777777" w:rsidR="0072721D" w:rsidRDefault="0072721D" w:rsidP="00440C06">
      <w:r>
        <w:separator/>
      </w:r>
    </w:p>
  </w:endnote>
  <w:endnote w:type="continuationSeparator" w:id="0">
    <w:p w14:paraId="62D3FDC2" w14:textId="77777777" w:rsidR="0072721D" w:rsidRDefault="0072721D" w:rsidP="0044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Klee One"/>
    <w:charset w:val="80"/>
    <w:family w:val="auto"/>
    <w:pitch w:val="default"/>
    <w:sig w:usb0="00000000" w:usb1="0000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E1B78" w14:textId="77777777" w:rsidR="0072721D" w:rsidRDefault="0072721D" w:rsidP="00440C06">
      <w:r>
        <w:separator/>
      </w:r>
    </w:p>
  </w:footnote>
  <w:footnote w:type="continuationSeparator" w:id="0">
    <w:p w14:paraId="380EB33C" w14:textId="77777777" w:rsidR="0072721D" w:rsidRDefault="0072721D" w:rsidP="00440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9470A"/>
    <w:multiLevelType w:val="singleLevel"/>
    <w:tmpl w:val="6499470A"/>
    <w:lvl w:ilvl="0">
      <w:start w:val="2"/>
      <w:numFmt w:val="chineseCounting"/>
      <w:suff w:val="nothing"/>
      <w:lvlText w:val="（%1）"/>
      <w:lvlJc w:val="left"/>
    </w:lvl>
  </w:abstractNum>
  <w:abstractNum w:abstractNumId="1" w15:restartNumberingAfterBreak="0">
    <w:nsid w:val="64994788"/>
    <w:multiLevelType w:val="singleLevel"/>
    <w:tmpl w:val="64994788"/>
    <w:lvl w:ilvl="0">
      <w:start w:val="3"/>
      <w:numFmt w:val="chineseCounting"/>
      <w:suff w:val="nothing"/>
      <w:lvlText w:val="%1、"/>
      <w:lvlJc w:val="left"/>
    </w:lvl>
  </w:abstractNum>
  <w:abstractNum w:abstractNumId="2" w15:restartNumberingAfterBreak="0">
    <w:nsid w:val="649947F8"/>
    <w:multiLevelType w:val="singleLevel"/>
    <w:tmpl w:val="649947F8"/>
    <w:lvl w:ilvl="0">
      <w:start w:val="5"/>
      <w:numFmt w:val="chineseCounting"/>
      <w:suff w:val="nothing"/>
      <w:lvlText w:val="%1、"/>
      <w:lvlJc w:val="left"/>
    </w:lvl>
  </w:abstractNum>
  <w:num w:numId="1" w16cid:durableId="1676374433">
    <w:abstractNumId w:val="0"/>
  </w:num>
  <w:num w:numId="2" w16cid:durableId="141238192">
    <w:abstractNumId w:val="1"/>
  </w:num>
  <w:num w:numId="3" w16cid:durableId="989137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05E5E"/>
    <w:rsid w:val="0001161B"/>
    <w:rsid w:val="00022CBB"/>
    <w:rsid w:val="000263B9"/>
    <w:rsid w:val="00030C35"/>
    <w:rsid w:val="00033DEE"/>
    <w:rsid w:val="00042F41"/>
    <w:rsid w:val="000453B3"/>
    <w:rsid w:val="00065379"/>
    <w:rsid w:val="00077A5F"/>
    <w:rsid w:val="000D2A7E"/>
    <w:rsid w:val="000E18E4"/>
    <w:rsid w:val="000F054A"/>
    <w:rsid w:val="000F483A"/>
    <w:rsid w:val="00101DF6"/>
    <w:rsid w:val="00104513"/>
    <w:rsid w:val="0012483D"/>
    <w:rsid w:val="0014713A"/>
    <w:rsid w:val="00171145"/>
    <w:rsid w:val="00181E1A"/>
    <w:rsid w:val="001C3747"/>
    <w:rsid w:val="001D396E"/>
    <w:rsid w:val="001E5724"/>
    <w:rsid w:val="002154B7"/>
    <w:rsid w:val="00242673"/>
    <w:rsid w:val="00275596"/>
    <w:rsid w:val="00285327"/>
    <w:rsid w:val="002A7568"/>
    <w:rsid w:val="002D667C"/>
    <w:rsid w:val="002E51AF"/>
    <w:rsid w:val="002E6A30"/>
    <w:rsid w:val="00313A87"/>
    <w:rsid w:val="00322986"/>
    <w:rsid w:val="0034254B"/>
    <w:rsid w:val="0036192E"/>
    <w:rsid w:val="00367C55"/>
    <w:rsid w:val="0038665C"/>
    <w:rsid w:val="0039379C"/>
    <w:rsid w:val="003A3860"/>
    <w:rsid w:val="003A45C2"/>
    <w:rsid w:val="003B1BEB"/>
    <w:rsid w:val="003C247E"/>
    <w:rsid w:val="003C4CEE"/>
    <w:rsid w:val="003E6625"/>
    <w:rsid w:val="00400B64"/>
    <w:rsid w:val="004070CF"/>
    <w:rsid w:val="00440C06"/>
    <w:rsid w:val="00456988"/>
    <w:rsid w:val="0047079A"/>
    <w:rsid w:val="004740B3"/>
    <w:rsid w:val="0047605B"/>
    <w:rsid w:val="004874CD"/>
    <w:rsid w:val="004F5E94"/>
    <w:rsid w:val="005432CD"/>
    <w:rsid w:val="0054714E"/>
    <w:rsid w:val="00562973"/>
    <w:rsid w:val="00562E68"/>
    <w:rsid w:val="00564783"/>
    <w:rsid w:val="005652E2"/>
    <w:rsid w:val="00577FC8"/>
    <w:rsid w:val="005A0378"/>
    <w:rsid w:val="005A48CD"/>
    <w:rsid w:val="005F16DE"/>
    <w:rsid w:val="00622B21"/>
    <w:rsid w:val="00665621"/>
    <w:rsid w:val="00684EC8"/>
    <w:rsid w:val="006928EB"/>
    <w:rsid w:val="006E4F82"/>
    <w:rsid w:val="006F64C9"/>
    <w:rsid w:val="00717F2D"/>
    <w:rsid w:val="0072721D"/>
    <w:rsid w:val="00741F02"/>
    <w:rsid w:val="007639A2"/>
    <w:rsid w:val="007935B1"/>
    <w:rsid w:val="007A4F04"/>
    <w:rsid w:val="007B4DB8"/>
    <w:rsid w:val="007C379D"/>
    <w:rsid w:val="007C4647"/>
    <w:rsid w:val="007C62ED"/>
    <w:rsid w:val="007D25E9"/>
    <w:rsid w:val="007D6ECA"/>
    <w:rsid w:val="007E0F7A"/>
    <w:rsid w:val="007E39E3"/>
    <w:rsid w:val="00803D0E"/>
    <w:rsid w:val="0081203D"/>
    <w:rsid w:val="008128AD"/>
    <w:rsid w:val="008334BE"/>
    <w:rsid w:val="0084650D"/>
    <w:rsid w:val="008478B0"/>
    <w:rsid w:val="008560E2"/>
    <w:rsid w:val="00880429"/>
    <w:rsid w:val="00881248"/>
    <w:rsid w:val="00886EBF"/>
    <w:rsid w:val="0090500C"/>
    <w:rsid w:val="00962B49"/>
    <w:rsid w:val="009B392C"/>
    <w:rsid w:val="009C192D"/>
    <w:rsid w:val="009D603F"/>
    <w:rsid w:val="009E6E9D"/>
    <w:rsid w:val="00A03BBD"/>
    <w:rsid w:val="00A03F70"/>
    <w:rsid w:val="00A124A4"/>
    <w:rsid w:val="00A16EAC"/>
    <w:rsid w:val="00A61EFD"/>
    <w:rsid w:val="00A65082"/>
    <w:rsid w:val="00A77573"/>
    <w:rsid w:val="00A90FA7"/>
    <w:rsid w:val="00AA4570"/>
    <w:rsid w:val="00AA630A"/>
    <w:rsid w:val="00AE3D1A"/>
    <w:rsid w:val="00B03909"/>
    <w:rsid w:val="00B31BAC"/>
    <w:rsid w:val="00B35C06"/>
    <w:rsid w:val="00B40ECD"/>
    <w:rsid w:val="00B72290"/>
    <w:rsid w:val="00B93B2B"/>
    <w:rsid w:val="00BA23F0"/>
    <w:rsid w:val="00BA561B"/>
    <w:rsid w:val="00BC253B"/>
    <w:rsid w:val="00C00798"/>
    <w:rsid w:val="00C115AC"/>
    <w:rsid w:val="00C22623"/>
    <w:rsid w:val="00C52430"/>
    <w:rsid w:val="00C54636"/>
    <w:rsid w:val="00C64C2F"/>
    <w:rsid w:val="00C73CB8"/>
    <w:rsid w:val="00C74112"/>
    <w:rsid w:val="00CA53B2"/>
    <w:rsid w:val="00CF098A"/>
    <w:rsid w:val="00D02F99"/>
    <w:rsid w:val="00D13271"/>
    <w:rsid w:val="00D14471"/>
    <w:rsid w:val="00D40AD8"/>
    <w:rsid w:val="00D417A1"/>
    <w:rsid w:val="00D504B7"/>
    <w:rsid w:val="00D715F7"/>
    <w:rsid w:val="00D75DBC"/>
    <w:rsid w:val="00DC6C4D"/>
    <w:rsid w:val="00DD7B5F"/>
    <w:rsid w:val="00DE7849"/>
    <w:rsid w:val="00E05E8B"/>
    <w:rsid w:val="00E14EFE"/>
    <w:rsid w:val="00E20D71"/>
    <w:rsid w:val="00E321A5"/>
    <w:rsid w:val="00E366AB"/>
    <w:rsid w:val="00E522C2"/>
    <w:rsid w:val="00E76E34"/>
    <w:rsid w:val="00E81DF0"/>
    <w:rsid w:val="00EC13B1"/>
    <w:rsid w:val="00ED0838"/>
    <w:rsid w:val="00ED5DA8"/>
    <w:rsid w:val="00ED7F81"/>
    <w:rsid w:val="00F56396"/>
    <w:rsid w:val="00F80834"/>
    <w:rsid w:val="00F83D2C"/>
    <w:rsid w:val="00F933B4"/>
    <w:rsid w:val="00FA6DEE"/>
    <w:rsid w:val="00FB0828"/>
    <w:rsid w:val="00FB77A1"/>
    <w:rsid w:val="00FC24B5"/>
    <w:rsid w:val="020B7729"/>
    <w:rsid w:val="032D64CB"/>
    <w:rsid w:val="08E94BE9"/>
    <w:rsid w:val="1F5901EA"/>
    <w:rsid w:val="24DE0BEE"/>
    <w:rsid w:val="2C385803"/>
    <w:rsid w:val="2FA10B21"/>
    <w:rsid w:val="34C108AA"/>
    <w:rsid w:val="37FD31FE"/>
    <w:rsid w:val="420F6274"/>
    <w:rsid w:val="4CF50B53"/>
    <w:rsid w:val="55FA250B"/>
    <w:rsid w:val="56D73167"/>
    <w:rsid w:val="59433257"/>
    <w:rsid w:val="6D38040D"/>
    <w:rsid w:val="6D903118"/>
    <w:rsid w:val="709A2664"/>
    <w:rsid w:val="7D3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826FCC"/>
  <w15:docId w15:val="{105A291A-5420-4317-BAA8-EBEF10B1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9</Pages>
  <Words>902</Words>
  <Characters>5142</Characters>
  <Application>Microsoft Office Word</Application>
  <DocSecurity>0</DocSecurity>
  <Lines>42</Lines>
  <Paragraphs>12</Paragraphs>
  <ScaleCrop>false</ScaleCrop>
  <Company>P R C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 lww</cp:lastModifiedBy>
  <cp:revision>135</cp:revision>
  <cp:lastPrinted>2020-12-24T15:17:00Z</cp:lastPrinted>
  <dcterms:created xsi:type="dcterms:W3CDTF">2020-12-08T16:33:00Z</dcterms:created>
  <dcterms:modified xsi:type="dcterms:W3CDTF">2023-08-21T07:47:00Z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